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6283F" w14:textId="77777777" w:rsidR="007B2E62" w:rsidRPr="001D2144" w:rsidRDefault="007B2E62" w:rsidP="007B2E62">
      <w:pPr>
        <w:spacing w:after="0"/>
        <w:jc w:val="center"/>
        <w:rPr>
          <w:rFonts w:asciiTheme="majorBidi" w:hAnsiTheme="majorBidi" w:cstheme="majorBidi"/>
          <w:b/>
          <w:color w:val="005F9E"/>
          <w:sz w:val="32"/>
          <w:szCs w:val="32"/>
        </w:rPr>
      </w:pPr>
    </w:p>
    <w:p w14:paraId="0D1B271C" w14:textId="77777777" w:rsidR="007F1818" w:rsidRDefault="00B7402B" w:rsidP="00B7402B">
      <w:pPr>
        <w:spacing w:after="0"/>
        <w:jc w:val="center"/>
        <w:rPr>
          <w:rFonts w:ascii="Garamond" w:hAnsi="Garamond" w:cs="Times New Roman"/>
          <w:b/>
          <w:color w:val="365F91" w:themeColor="accent1" w:themeShade="BF"/>
          <w:sz w:val="36"/>
          <w:szCs w:val="36"/>
        </w:rPr>
      </w:pPr>
      <w:r w:rsidRPr="00B7402B">
        <w:rPr>
          <w:rFonts w:ascii="Garamond" w:hAnsi="Garamond" w:cs="Times New Roman"/>
          <w:b/>
          <w:color w:val="365F91" w:themeColor="accent1" w:themeShade="BF"/>
          <w:sz w:val="36"/>
          <w:szCs w:val="36"/>
        </w:rPr>
        <w:t xml:space="preserve">Changes in the Quality of Life and Body Mass Index of </w:t>
      </w:r>
    </w:p>
    <w:p w14:paraId="6A1F8F3A" w14:textId="65B819DD" w:rsidR="00B7402B" w:rsidRPr="00B7402B" w:rsidRDefault="00B7402B" w:rsidP="00B7402B">
      <w:pPr>
        <w:spacing w:after="0"/>
        <w:jc w:val="center"/>
        <w:rPr>
          <w:rFonts w:ascii="Garamond" w:hAnsi="Garamond" w:cs="Times New Roman"/>
          <w:b/>
          <w:color w:val="365F91" w:themeColor="accent1" w:themeShade="BF"/>
          <w:sz w:val="36"/>
          <w:szCs w:val="36"/>
        </w:rPr>
      </w:pPr>
      <w:r w:rsidRPr="00B7402B">
        <w:rPr>
          <w:rFonts w:ascii="Garamond" w:hAnsi="Garamond" w:cs="Times New Roman"/>
          <w:b/>
          <w:color w:val="365F91" w:themeColor="accent1" w:themeShade="BF"/>
          <w:sz w:val="36"/>
          <w:szCs w:val="36"/>
        </w:rPr>
        <w:t>Overweight Women after Interdiscip</w:t>
      </w:r>
      <w:bookmarkStart w:id="0" w:name="_GoBack"/>
      <w:bookmarkEnd w:id="0"/>
      <w:r w:rsidRPr="00B7402B">
        <w:rPr>
          <w:rFonts w:ascii="Garamond" w:hAnsi="Garamond" w:cs="Times New Roman"/>
          <w:b/>
          <w:color w:val="365F91" w:themeColor="accent1" w:themeShade="BF"/>
          <w:sz w:val="36"/>
          <w:szCs w:val="36"/>
        </w:rPr>
        <w:t>linary In</w:t>
      </w:r>
      <w:r>
        <w:rPr>
          <w:rFonts w:ascii="Garamond" w:hAnsi="Garamond" w:cs="Times New Roman"/>
          <w:b/>
          <w:color w:val="365F91" w:themeColor="accent1" w:themeShade="BF"/>
          <w:sz w:val="36"/>
          <w:szCs w:val="36"/>
        </w:rPr>
        <w:t>terventions in Weight Reduction</w:t>
      </w:r>
    </w:p>
    <w:p w14:paraId="1B30157C" w14:textId="77777777" w:rsidR="007B2E62" w:rsidRPr="00B7402B" w:rsidRDefault="007B2E62" w:rsidP="007B2E62">
      <w:pPr>
        <w:spacing w:after="0"/>
        <w:jc w:val="both"/>
        <w:rPr>
          <w:rFonts w:ascii="Garamond" w:hAnsi="Garamond" w:cstheme="majorBidi"/>
          <w:b/>
          <w:bCs/>
          <w:sz w:val="20"/>
          <w:rtl/>
          <w:lang w:bidi="fa-IR"/>
        </w:rPr>
      </w:pPr>
    </w:p>
    <w:p w14:paraId="662C3DBE" w14:textId="3643C7C9" w:rsidR="00B7402B" w:rsidRPr="00B7402B" w:rsidRDefault="00B7402B" w:rsidP="00B7402B">
      <w:pPr>
        <w:spacing w:after="0"/>
        <w:jc w:val="center"/>
        <w:rPr>
          <w:rFonts w:ascii="Garamond" w:hAnsi="Garamond" w:cs="Times New Roman"/>
          <w:b/>
          <w:i/>
          <w:iCs/>
          <w:color w:val="005F9E"/>
          <w:sz w:val="26"/>
          <w:szCs w:val="26"/>
        </w:rPr>
      </w:pPr>
      <w:r w:rsidRPr="00B7402B">
        <w:rPr>
          <w:rFonts w:ascii="Garamond" w:hAnsi="Garamond" w:cs="Times New Roman"/>
          <w:b/>
          <w:i/>
          <w:iCs/>
          <w:color w:val="005F9E"/>
          <w:sz w:val="26"/>
          <w:szCs w:val="26"/>
        </w:rPr>
        <w:t xml:space="preserve">*Malgorzata OBARA-GOLEBIOWSKA </w:t>
      </w:r>
      <w:r w:rsidRPr="00B7402B">
        <w:rPr>
          <w:rFonts w:ascii="Garamond" w:hAnsi="Garamond" w:cs="Times New Roman"/>
          <w:b/>
          <w:i/>
          <w:iCs/>
          <w:color w:val="005F9E"/>
          <w:sz w:val="28"/>
          <w:szCs w:val="28"/>
          <w:vertAlign w:val="superscript"/>
        </w:rPr>
        <w:t>1</w:t>
      </w:r>
      <w:r w:rsidRPr="00B7402B">
        <w:rPr>
          <w:rFonts w:ascii="Garamond" w:hAnsi="Garamond" w:cs="Times New Roman"/>
          <w:b/>
          <w:i/>
          <w:iCs/>
          <w:color w:val="005F9E"/>
          <w:sz w:val="26"/>
          <w:szCs w:val="26"/>
        </w:rPr>
        <w:t>, Katarzyna Eufemia PRZYBYLOWICZ</w:t>
      </w:r>
      <w:r>
        <w:rPr>
          <w:rFonts w:ascii="Garamond" w:hAnsi="Garamond" w:cs="Times New Roman"/>
          <w:b/>
          <w:i/>
          <w:iCs/>
          <w:color w:val="005F9E"/>
          <w:sz w:val="26"/>
          <w:szCs w:val="26"/>
        </w:rPr>
        <w:t xml:space="preserve"> </w:t>
      </w:r>
      <w:r w:rsidR="007F1818" w:rsidRPr="00B7402B">
        <w:rPr>
          <w:rFonts w:ascii="Garamond" w:hAnsi="Garamond" w:cs="Times New Roman"/>
          <w:b/>
          <w:i/>
          <w:iCs/>
          <w:color w:val="005F9E"/>
          <w:sz w:val="28"/>
          <w:szCs w:val="28"/>
          <w:vertAlign w:val="superscript"/>
        </w:rPr>
        <w:t>2</w:t>
      </w:r>
      <w:r w:rsidR="007F1818" w:rsidRPr="00B7402B">
        <w:rPr>
          <w:rFonts w:ascii="Garamond" w:hAnsi="Garamond" w:cs="Times New Roman"/>
          <w:b/>
          <w:i/>
          <w:iCs/>
          <w:color w:val="005F9E"/>
          <w:sz w:val="26"/>
          <w:szCs w:val="26"/>
        </w:rPr>
        <w:t>,</w:t>
      </w:r>
      <w:r w:rsidRPr="00B7402B">
        <w:rPr>
          <w:rFonts w:ascii="Garamond" w:hAnsi="Garamond" w:cs="Times New Roman"/>
          <w:b/>
          <w:i/>
          <w:iCs/>
          <w:color w:val="005F9E"/>
          <w:sz w:val="26"/>
          <w:szCs w:val="26"/>
        </w:rPr>
        <w:t xml:space="preserve"> Anna DANIELEWICZ </w:t>
      </w:r>
      <w:r w:rsidRPr="00B7402B">
        <w:rPr>
          <w:rFonts w:ascii="Garamond" w:hAnsi="Garamond" w:cs="Times New Roman"/>
          <w:b/>
          <w:i/>
          <w:iCs/>
          <w:color w:val="005F9E"/>
          <w:sz w:val="28"/>
          <w:szCs w:val="28"/>
          <w:vertAlign w:val="superscript"/>
        </w:rPr>
        <w:t>2</w:t>
      </w:r>
      <w:r w:rsidRPr="00B7402B">
        <w:rPr>
          <w:rFonts w:ascii="Garamond" w:hAnsi="Garamond" w:cs="Times New Roman"/>
          <w:b/>
          <w:i/>
          <w:iCs/>
          <w:color w:val="005F9E"/>
          <w:sz w:val="26"/>
          <w:szCs w:val="26"/>
        </w:rPr>
        <w:t xml:space="preserve">, Jakub MORZE </w:t>
      </w:r>
      <w:r w:rsidRPr="00B7402B">
        <w:rPr>
          <w:rFonts w:ascii="Garamond" w:hAnsi="Garamond" w:cs="Times New Roman"/>
          <w:b/>
          <w:i/>
          <w:iCs/>
          <w:color w:val="005F9E"/>
          <w:sz w:val="28"/>
          <w:szCs w:val="28"/>
          <w:vertAlign w:val="superscript"/>
        </w:rPr>
        <w:t>2</w:t>
      </w:r>
    </w:p>
    <w:p w14:paraId="1CF6D0C9" w14:textId="77777777" w:rsidR="007B2E62" w:rsidRPr="007973B2" w:rsidRDefault="007B2E62" w:rsidP="007B2E62">
      <w:pPr>
        <w:pStyle w:val="NoSpacing"/>
        <w:jc w:val="both"/>
        <w:rPr>
          <w:rFonts w:ascii="Garamond" w:hAnsi="Garamond" w:cstheme="majorBidi"/>
          <w:sz w:val="24"/>
          <w:szCs w:val="24"/>
        </w:rPr>
      </w:pPr>
    </w:p>
    <w:p w14:paraId="0539E877" w14:textId="27ABA438" w:rsidR="00B7402B" w:rsidRPr="00B7402B" w:rsidRDefault="00B7402B" w:rsidP="00B7402B">
      <w:pPr>
        <w:numPr>
          <w:ilvl w:val="0"/>
          <w:numId w:val="3"/>
        </w:numPr>
        <w:spacing w:after="0"/>
        <w:jc w:val="center"/>
        <w:rPr>
          <w:rFonts w:ascii="Garamond" w:hAnsi="Garamond" w:cs="Times New Roman"/>
          <w:i/>
          <w:iCs/>
        </w:rPr>
      </w:pPr>
      <w:r w:rsidRPr="00B7402B">
        <w:rPr>
          <w:rFonts w:ascii="Garamond" w:hAnsi="Garamond" w:cs="Times New Roman"/>
          <w:i/>
          <w:iCs/>
        </w:rPr>
        <w:t xml:space="preserve">Department of Psychology of Development and Education, University of Warmia and Mazury, Olsztyn, Poland </w:t>
      </w:r>
    </w:p>
    <w:p w14:paraId="1997C000" w14:textId="570CBC45" w:rsidR="00B7402B" w:rsidRPr="00B7402B" w:rsidRDefault="00B7402B" w:rsidP="003813AD">
      <w:pPr>
        <w:numPr>
          <w:ilvl w:val="0"/>
          <w:numId w:val="3"/>
        </w:numPr>
        <w:spacing w:after="0"/>
        <w:jc w:val="center"/>
        <w:rPr>
          <w:rFonts w:ascii="Garamond" w:hAnsi="Garamond" w:cs="Times New Roman"/>
          <w:i/>
          <w:iCs/>
        </w:rPr>
      </w:pPr>
      <w:r w:rsidRPr="00B7402B">
        <w:rPr>
          <w:rFonts w:ascii="Garamond" w:hAnsi="Garamond" w:cs="Times New Roman"/>
          <w:i/>
          <w:iCs/>
        </w:rPr>
        <w:t xml:space="preserve">Department of Human Nutrition, University of Warmia and Mazury, Olsztyn, Poland </w:t>
      </w:r>
    </w:p>
    <w:p w14:paraId="6480B611" w14:textId="22D3AEE4" w:rsidR="007B2E62" w:rsidRPr="00721DBD" w:rsidRDefault="007B2E62" w:rsidP="007B2E62">
      <w:pPr>
        <w:spacing w:after="0"/>
        <w:ind w:left="360"/>
        <w:rPr>
          <w:rFonts w:ascii="Garamond" w:hAnsi="Garamond" w:cs="Times New Roman"/>
          <w:i/>
          <w:iCs/>
          <w:sz w:val="14"/>
          <w:szCs w:val="14"/>
        </w:rPr>
      </w:pPr>
    </w:p>
    <w:p w14:paraId="1750FE4F" w14:textId="33FD8D11" w:rsidR="00116448" w:rsidRPr="001D2144" w:rsidRDefault="00116448" w:rsidP="00B7402B">
      <w:pPr>
        <w:spacing w:after="0"/>
        <w:jc w:val="center"/>
        <w:rPr>
          <w:rFonts w:ascii="Garamond" w:hAnsi="Garamond" w:cstheme="majorBidi"/>
          <w:szCs w:val="24"/>
        </w:rPr>
      </w:pPr>
      <w:r w:rsidRPr="001D2144">
        <w:rPr>
          <w:rFonts w:ascii="Garamond" w:hAnsi="Garamond" w:cs="Times New Roman"/>
          <w:b/>
          <w:color w:val="006699"/>
          <w:sz w:val="20"/>
          <w:lang w:val="en-GB"/>
        </w:rPr>
        <w:t xml:space="preserve">*Corresponding Author: </w:t>
      </w:r>
      <w:r w:rsidRPr="001D2144">
        <w:rPr>
          <w:rFonts w:ascii="Garamond" w:hAnsi="Garamond"/>
          <w:lang w:val="en-GB"/>
        </w:rPr>
        <w:t xml:space="preserve">Email: </w:t>
      </w:r>
      <w:r w:rsidR="00B7402B" w:rsidRPr="00B7402B">
        <w:rPr>
          <w:rFonts w:ascii="Garamond" w:hAnsi="Garamond" w:cstheme="majorBidi"/>
          <w:szCs w:val="24"/>
        </w:rPr>
        <w:t>malgorzata.obara@gmail.com</w:t>
      </w:r>
    </w:p>
    <w:p w14:paraId="1938EBD4" w14:textId="77777777" w:rsidR="00116448" w:rsidRPr="001D2144" w:rsidRDefault="00116448" w:rsidP="00116448">
      <w:pPr>
        <w:spacing w:after="0"/>
        <w:jc w:val="center"/>
        <w:rPr>
          <w:rFonts w:cs="Times New Roman"/>
          <w:sz w:val="16"/>
          <w:szCs w:val="16"/>
          <w:lang w:val="fr-FR"/>
        </w:rPr>
      </w:pPr>
    </w:p>
    <w:p w14:paraId="29F321BF" w14:textId="41386FE6" w:rsidR="000373C5" w:rsidRPr="000373C5" w:rsidRDefault="000373C5" w:rsidP="000373C5">
      <w:pPr>
        <w:spacing w:after="0"/>
        <w:jc w:val="center"/>
        <w:rPr>
          <w:rFonts w:ascii="Garamond" w:eastAsia="Malgun Gothic" w:hAnsi="Garamond" w:cs="Arial"/>
          <w:b/>
          <w:color w:val="005F9E"/>
          <w:sz w:val="20"/>
        </w:rPr>
      </w:pPr>
      <w:r w:rsidRPr="000373C5">
        <w:rPr>
          <w:rFonts w:ascii="Garamond" w:eastAsia="Malgun Gothic" w:hAnsi="Garamond" w:cs="Arial"/>
          <w:b/>
          <w:color w:val="005F9E"/>
          <w:sz w:val="20"/>
        </w:rPr>
        <w:t xml:space="preserve">(Received </w:t>
      </w:r>
      <w:r>
        <w:rPr>
          <w:rFonts w:ascii="Garamond" w:eastAsia="Malgun Gothic" w:hAnsi="Garamond" w:cs="Arial"/>
          <w:b/>
          <w:color w:val="005F9E"/>
          <w:sz w:val="20"/>
        </w:rPr>
        <w:t>18</w:t>
      </w:r>
      <w:r w:rsidRPr="000373C5">
        <w:rPr>
          <w:rFonts w:ascii="Garamond" w:eastAsia="Malgun Gothic" w:hAnsi="Garamond" w:cs="Arial"/>
          <w:b/>
          <w:color w:val="005F9E"/>
          <w:sz w:val="20"/>
        </w:rPr>
        <w:t xml:space="preserve"> </w:t>
      </w:r>
      <w:r>
        <w:rPr>
          <w:rFonts w:ascii="Garamond" w:eastAsia="Malgun Gothic" w:hAnsi="Garamond" w:cs="Arial"/>
          <w:b/>
          <w:color w:val="005F9E"/>
          <w:sz w:val="20"/>
        </w:rPr>
        <w:t>Jun</w:t>
      </w:r>
      <w:r w:rsidRPr="000373C5">
        <w:rPr>
          <w:rFonts w:ascii="Garamond" w:eastAsia="Malgun Gothic" w:hAnsi="Garamond" w:cs="Arial"/>
          <w:b/>
          <w:color w:val="005F9E"/>
          <w:sz w:val="20"/>
        </w:rPr>
        <w:t xml:space="preserve"> 2018; accepted </w:t>
      </w:r>
      <w:r>
        <w:rPr>
          <w:rFonts w:ascii="Garamond" w:eastAsia="Malgun Gothic" w:hAnsi="Garamond" w:cs="Arial"/>
          <w:b/>
          <w:color w:val="005F9E"/>
          <w:sz w:val="20"/>
        </w:rPr>
        <w:t>26</w:t>
      </w:r>
      <w:r w:rsidRPr="000373C5">
        <w:rPr>
          <w:rFonts w:ascii="Garamond" w:eastAsia="Malgun Gothic" w:hAnsi="Garamond" w:cs="Arial"/>
          <w:b/>
          <w:color w:val="005F9E"/>
          <w:sz w:val="20"/>
        </w:rPr>
        <w:t xml:space="preserve"> Jun 2018)</w:t>
      </w:r>
    </w:p>
    <w:p w14:paraId="754FEB52" w14:textId="77777777" w:rsidR="00B7402B" w:rsidRPr="00B7402B" w:rsidRDefault="00B7402B" w:rsidP="00B7402B">
      <w:pPr>
        <w:spacing w:after="0"/>
        <w:jc w:val="center"/>
        <w:rPr>
          <w:rFonts w:ascii="Garamond" w:hAnsi="Garamond"/>
          <w:b/>
          <w:color w:val="005F9E"/>
          <w:sz w:val="20"/>
        </w:rPr>
      </w:pPr>
    </w:p>
    <w:p w14:paraId="28C3BEBA" w14:textId="77777777" w:rsidR="00B7402B" w:rsidRPr="00B7402B" w:rsidRDefault="00B7402B" w:rsidP="00B7402B">
      <w:pPr>
        <w:spacing w:after="0"/>
        <w:jc w:val="both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B7402B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Dear Editor-in-Chief</w:t>
      </w:r>
    </w:p>
    <w:p w14:paraId="35255539" w14:textId="77777777" w:rsidR="00B7402B" w:rsidRPr="00437441" w:rsidRDefault="00B7402B" w:rsidP="00B7402B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14:paraId="2000396C" w14:textId="77777777" w:rsidR="00B7402B" w:rsidRDefault="00B7402B" w:rsidP="00B7402B">
      <w:pPr>
        <w:pStyle w:val="Pa10"/>
        <w:spacing w:line="240" w:lineRule="auto"/>
        <w:jc w:val="both"/>
        <w:rPr>
          <w:rFonts w:ascii="Garamond" w:hAnsi="Garamond" w:cs="Times New Roman"/>
          <w:lang w:val="en-GB"/>
        </w:rPr>
        <w:sectPr w:rsidR="00B7402B" w:rsidSect="002C0B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701" w:right="1134" w:bottom="1418" w:left="1134" w:header="720" w:footer="720" w:gutter="0"/>
          <w:pgNumType w:start="2091"/>
          <w:cols w:space="720"/>
          <w:titlePg/>
          <w:docGrid w:linePitch="360"/>
        </w:sectPr>
      </w:pPr>
    </w:p>
    <w:p w14:paraId="7878A5EE" w14:textId="019A8580" w:rsidR="00B7402B" w:rsidRPr="00437441" w:rsidRDefault="00B7402B" w:rsidP="00B7402B">
      <w:pPr>
        <w:pStyle w:val="Pa10"/>
        <w:spacing w:line="240" w:lineRule="auto"/>
        <w:jc w:val="both"/>
        <w:rPr>
          <w:rFonts w:ascii="Garamond" w:hAnsi="Garamond" w:cs="Times New Roman"/>
          <w:lang w:val="en-GB"/>
        </w:rPr>
      </w:pPr>
      <w:r w:rsidRPr="00437441">
        <w:rPr>
          <w:rFonts w:ascii="Garamond" w:hAnsi="Garamond" w:cs="Times New Roman"/>
          <w:lang w:val="en-GB"/>
        </w:rPr>
        <w:t>“Psychological practice in the scope of therapy of overweight persons shows that psychological destabilisation leading to a decrease in the quality of life of an individual frequently results in excessive eating” (1). Such a form of compensation directly results in overweight or obesity, and sometimes also in the appearance of deeper psychopathological disorders (2).</w:t>
      </w:r>
      <w:r w:rsidRPr="00437441">
        <w:rPr>
          <w:rFonts w:ascii="Garamond" w:hAnsi="Garamond" w:cs="Times New Roman"/>
          <w:lang w:val="en"/>
        </w:rPr>
        <w:t xml:space="preserve"> On the other hand, weight reduction programs involving patient collaboration with physician, psychologist and dietitian lead to a significant increase in their quality of life (3).</w:t>
      </w:r>
      <w:r w:rsidRPr="00437441">
        <w:rPr>
          <w:rFonts w:ascii="Garamond" w:hAnsi="Garamond" w:cs="Times New Roman"/>
          <w:lang w:val="en-GB"/>
        </w:rPr>
        <w:t xml:space="preserve"> </w:t>
      </w:r>
    </w:p>
    <w:p w14:paraId="47829CC9" w14:textId="77777777" w:rsidR="00B7402B" w:rsidRPr="00437441" w:rsidRDefault="00B7402B" w:rsidP="00B7402B">
      <w:pPr>
        <w:pStyle w:val="Pa10"/>
        <w:spacing w:line="240" w:lineRule="auto"/>
        <w:jc w:val="both"/>
        <w:rPr>
          <w:rFonts w:ascii="Garamond" w:hAnsi="Garamond" w:cs="Times New Roman"/>
          <w:lang w:val="en-US"/>
        </w:rPr>
      </w:pPr>
      <w:r w:rsidRPr="00437441">
        <w:rPr>
          <w:rFonts w:ascii="Garamond" w:hAnsi="Garamond" w:cs="Times New Roman"/>
          <w:lang w:val="en-GB"/>
        </w:rPr>
        <w:t>The objective of this study was to analyse the changes in Body Mass Index (BMI) quality of life in a group of obese women</w:t>
      </w:r>
      <w:r w:rsidRPr="00437441">
        <w:rPr>
          <w:rFonts w:ascii="Garamond" w:eastAsia="MinionPro-Regular" w:hAnsi="Garamond" w:cs="Times New Roman"/>
          <w:lang w:val="en-US"/>
        </w:rPr>
        <w:t xml:space="preserve"> of the Obesity Treatment Ward </w:t>
      </w:r>
      <w:r w:rsidRPr="00437441">
        <w:rPr>
          <w:rStyle w:val="shorttext"/>
          <w:rFonts w:ascii="Garamond" w:hAnsi="Garamond" w:cs="Times New Roman"/>
          <w:lang w:val="en"/>
        </w:rPr>
        <w:t>within 3 months after</w:t>
      </w:r>
      <w:r w:rsidRPr="00437441">
        <w:rPr>
          <w:rFonts w:ascii="Garamond" w:hAnsi="Garamond" w:cs="Times New Roman"/>
          <w:lang w:val="en-US"/>
        </w:rPr>
        <w:t xml:space="preserve"> participating in multicomponent, interdisciplinary weight loss program. </w:t>
      </w:r>
    </w:p>
    <w:p w14:paraId="78C5B8A3" w14:textId="77777777" w:rsidR="00B7402B" w:rsidRPr="007F1818" w:rsidRDefault="00B7402B" w:rsidP="00B7402B">
      <w:pPr>
        <w:pStyle w:val="Pa10"/>
        <w:spacing w:line="240" w:lineRule="auto"/>
        <w:jc w:val="both"/>
        <w:rPr>
          <w:rFonts w:ascii="Garamond" w:hAnsi="Garamond" w:cs="Times New Roman"/>
          <w:spacing w:val="-2"/>
          <w:lang w:val="en-US"/>
        </w:rPr>
      </w:pPr>
      <w:r w:rsidRPr="007F1818">
        <w:rPr>
          <w:rFonts w:ascii="Garamond" w:hAnsi="Garamond" w:cs="Times New Roman"/>
          <w:spacing w:val="-2"/>
          <w:lang w:val="en-US"/>
        </w:rPr>
        <w:t>T</w:t>
      </w:r>
      <w:r w:rsidRPr="007F1818">
        <w:rPr>
          <w:rFonts w:ascii="Garamond" w:hAnsi="Garamond" w:cs="Times New Roman"/>
          <w:spacing w:val="-2"/>
          <w:lang w:val="en-GB"/>
        </w:rPr>
        <w:t>he study group comprised 98 overweight females of the Obesity Treatment Ward</w:t>
      </w:r>
      <w:r w:rsidRPr="007F1818">
        <w:rPr>
          <w:rFonts w:ascii="Garamond" w:hAnsi="Garamond" w:cs="Times New Roman"/>
          <w:spacing w:val="-2"/>
          <w:lang w:val="en-US"/>
        </w:rPr>
        <w:t xml:space="preserve"> which organizes weight loss programs that teach patients to make healthy lifestyle choices with the assistance of an interdisciplinary team of experts. </w:t>
      </w:r>
      <w:r w:rsidRPr="007F1818">
        <w:rPr>
          <w:rFonts w:ascii="Garamond" w:hAnsi="Garamond" w:cs="Times New Roman"/>
          <w:spacing w:val="-2"/>
          <w:lang w:val="en"/>
        </w:rPr>
        <w:t>All p</w:t>
      </w:r>
      <w:r w:rsidRPr="007F1818">
        <w:rPr>
          <w:rStyle w:val="shorttext"/>
          <w:rFonts w:ascii="Garamond" w:hAnsi="Garamond" w:cs="Times New Roman"/>
          <w:spacing w:val="-2"/>
          <w:lang w:val="en"/>
        </w:rPr>
        <w:t>atients received a 1200 calorie diet.</w:t>
      </w:r>
      <w:r w:rsidRPr="007F1818">
        <w:rPr>
          <w:rFonts w:ascii="Garamond" w:hAnsi="Garamond" w:cs="Times New Roman"/>
          <w:spacing w:val="-2"/>
          <w:lang w:val="en"/>
        </w:rPr>
        <w:t xml:space="preserve"> </w:t>
      </w:r>
      <w:r w:rsidRPr="007F1818">
        <w:rPr>
          <w:rFonts w:ascii="Garamond" w:hAnsi="Garamond" w:cs="Times New Roman"/>
          <w:spacing w:val="-2"/>
          <w:lang w:val="en-GB"/>
        </w:rPr>
        <w:t xml:space="preserve">The applied research tool was The WHO Quality-of-Life Scale - WHOQOL-BREF. </w:t>
      </w:r>
      <w:r w:rsidRPr="007F1818">
        <w:rPr>
          <w:rFonts w:ascii="Garamond" w:hAnsi="Garamond" w:cs="Times New Roman"/>
          <w:spacing w:val="-2"/>
          <w:lang w:val="en"/>
        </w:rPr>
        <w:t>The study measured 3 times the BMI and quality of life of patients (</w:t>
      </w:r>
      <w:r w:rsidRPr="007F1818">
        <w:rPr>
          <w:rFonts w:ascii="Garamond" w:hAnsi="Garamond" w:cs="Times New Roman"/>
          <w:spacing w:val="-2"/>
          <w:lang w:val="en-GB"/>
        </w:rPr>
        <w:t>question 1: individual overall quality of life; question 2: individual overall quality of health).</w:t>
      </w:r>
      <w:r w:rsidRPr="007F1818">
        <w:rPr>
          <w:rFonts w:ascii="Garamond" w:hAnsi="Garamond" w:cs="Times New Roman"/>
          <w:spacing w:val="-2"/>
          <w:lang w:val="en"/>
        </w:rPr>
        <w:t xml:space="preserve"> The first meas</w:t>
      </w:r>
      <w:r w:rsidRPr="007F1818">
        <w:rPr>
          <w:rFonts w:ascii="Garamond" w:hAnsi="Garamond" w:cs="Times New Roman"/>
          <w:spacing w:val="-2"/>
          <w:lang w:val="en"/>
        </w:rPr>
        <w:t>urement was made on the first day of the patient's stay in hospital. Measure second at the end of a two week weight-reduction program and the third measurement after 3 months. Measurements 1 and 2 were performed directly while measurement 3 was made via telephone or internet.</w:t>
      </w:r>
    </w:p>
    <w:p w14:paraId="221E04AF" w14:textId="32945CDB" w:rsidR="00B7402B" w:rsidRPr="00437441" w:rsidRDefault="00B7402B" w:rsidP="000373C5">
      <w:pPr>
        <w:spacing w:after="0"/>
        <w:jc w:val="both"/>
        <w:rPr>
          <w:rFonts w:ascii="Garamond" w:hAnsi="Garamond" w:cs="Times New Roman"/>
          <w:sz w:val="24"/>
          <w:szCs w:val="24"/>
          <w:lang w:val="en"/>
        </w:rPr>
      </w:pPr>
      <w:r w:rsidRPr="00437441">
        <w:rPr>
          <w:rFonts w:ascii="Garamond" w:hAnsi="Garamond" w:cs="Times New Roman"/>
          <w:sz w:val="24"/>
          <w:szCs w:val="24"/>
          <w:lang w:val="en"/>
        </w:rPr>
        <w:t>The mean BMI in the first measurement was 34.9 (SD +/- 6.0) with a mean BMI of 32.9 (SD +/- 5.9), a mean BMI of 30.9 (SD +/- 5.2) the third measurement. Significant differences applied to each pair of comparisons (</w:t>
      </w:r>
      <w:r w:rsidRPr="00437441">
        <w:rPr>
          <w:rFonts w:ascii="Garamond" w:hAnsi="Garamond" w:cs="Times New Roman"/>
          <w:i/>
          <w:iCs/>
          <w:sz w:val="24"/>
          <w:szCs w:val="24"/>
          <w:lang w:val="en"/>
        </w:rPr>
        <w:t>P</w:t>
      </w:r>
      <w:r w:rsidRPr="00437441">
        <w:rPr>
          <w:rFonts w:ascii="Garamond" w:hAnsi="Garamond" w:cs="Times New Roman"/>
          <w:sz w:val="24"/>
          <w:szCs w:val="24"/>
          <w:lang w:val="en"/>
        </w:rPr>
        <w:t xml:space="preserve">&lt;0.05). </w:t>
      </w:r>
      <w:r w:rsidRPr="00437441">
        <w:rPr>
          <w:rFonts w:ascii="Garamond" w:hAnsi="Garamond" w:cs="Times New Roman"/>
          <w:sz w:val="24"/>
          <w:szCs w:val="24"/>
        </w:rPr>
        <w:t>The overall qua</w:t>
      </w:r>
      <w:r w:rsidRPr="00437441">
        <w:rPr>
          <w:rFonts w:ascii="Garamond" w:hAnsi="Garamond" w:cs="Times New Roman"/>
          <w:sz w:val="24"/>
          <w:szCs w:val="24"/>
          <w:lang w:val="en"/>
        </w:rPr>
        <w:t xml:space="preserve">lity of life in the first measurement was 3.2 (SD +/- 0.8) versus 4.2 (SD +/- 0.9) in Measure II, 4.5 (SD +/- 0.6) in Measure </w:t>
      </w:r>
      <w:r w:rsidRPr="000373C5">
        <w:rPr>
          <w:rFonts w:ascii="Garamond" w:hAnsi="Garamond" w:cs="Times New Roman"/>
          <w:sz w:val="24"/>
          <w:szCs w:val="24"/>
          <w:lang w:val="en"/>
        </w:rPr>
        <w:t xml:space="preserve">III (Table </w:t>
      </w:r>
      <w:r w:rsidR="000373C5" w:rsidRPr="000373C5">
        <w:rPr>
          <w:rFonts w:ascii="Garamond" w:hAnsi="Garamond" w:cs="Times New Roman"/>
          <w:sz w:val="24"/>
          <w:szCs w:val="24"/>
          <w:lang w:val="en"/>
        </w:rPr>
        <w:t>1</w:t>
      </w:r>
      <w:r w:rsidRPr="000373C5">
        <w:rPr>
          <w:rFonts w:ascii="Garamond" w:hAnsi="Garamond" w:cs="Times New Roman"/>
          <w:sz w:val="24"/>
          <w:szCs w:val="24"/>
          <w:lang w:val="en"/>
        </w:rPr>
        <w:t xml:space="preserve">). </w:t>
      </w:r>
      <w:r w:rsidRPr="000373C5">
        <w:rPr>
          <w:rFonts w:ascii="Garamond" w:eastAsia="Times New Roman" w:hAnsi="Garamond" w:cs="Times New Roman"/>
          <w:sz w:val="24"/>
          <w:szCs w:val="24"/>
          <w:lang w:val="en" w:eastAsia="pl-PL"/>
        </w:rPr>
        <w:t>Significant differences are for each time point (</w:t>
      </w:r>
      <w:r w:rsidRPr="000373C5">
        <w:rPr>
          <w:rFonts w:ascii="Garamond" w:eastAsia="Times New Roman" w:hAnsi="Garamond" w:cs="Times New Roman"/>
          <w:i/>
          <w:iCs/>
          <w:sz w:val="24"/>
          <w:szCs w:val="24"/>
          <w:lang w:val="en" w:eastAsia="pl-PL"/>
        </w:rPr>
        <w:t>P</w:t>
      </w:r>
      <w:r w:rsidRPr="000373C5">
        <w:rPr>
          <w:rFonts w:ascii="Garamond" w:eastAsia="Times New Roman" w:hAnsi="Garamond" w:cs="Times New Roman"/>
          <w:sz w:val="24"/>
          <w:szCs w:val="24"/>
          <w:lang w:val="en" w:eastAsia="pl-PL"/>
        </w:rPr>
        <w:t xml:space="preserve">&lt;0.05). </w:t>
      </w:r>
      <w:r w:rsidRPr="000373C5">
        <w:rPr>
          <w:rFonts w:ascii="Garamond" w:hAnsi="Garamond" w:cs="Times New Roman"/>
          <w:sz w:val="24"/>
          <w:szCs w:val="24"/>
        </w:rPr>
        <w:t xml:space="preserve">The overall </w:t>
      </w:r>
      <w:r w:rsidRPr="000373C5">
        <w:rPr>
          <w:rFonts w:ascii="Garamond" w:hAnsi="Garamond" w:cs="Times New Roman"/>
          <w:sz w:val="24"/>
          <w:szCs w:val="24"/>
          <w:lang w:val="en"/>
        </w:rPr>
        <w:t>quality of health in the first measurement was 3.6 (SD +/- 0.7) against 4.0 (SD +/- 0.9) in Measure II, 4.3 (SD +/- 0.6) in Measure III (Table 2).</w:t>
      </w:r>
    </w:p>
    <w:p w14:paraId="11CCC344" w14:textId="77777777" w:rsidR="00B7402B" w:rsidRDefault="00B7402B" w:rsidP="00B7402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437441">
        <w:rPr>
          <w:rFonts w:ascii="Garamond" w:hAnsi="Garamond" w:cs="Times New Roman"/>
          <w:sz w:val="24"/>
          <w:szCs w:val="24"/>
        </w:rPr>
        <w:t xml:space="preserve">A 3-fold repetition test showed a statistically significant decrease in kilograms over a 3-month period. </w:t>
      </w:r>
      <w:r w:rsidRPr="00437441">
        <w:rPr>
          <w:rFonts w:ascii="Garamond" w:hAnsi="Garamond" w:cs="Times New Roman"/>
          <w:sz w:val="24"/>
          <w:szCs w:val="24"/>
          <w:lang w:val="en"/>
        </w:rPr>
        <w:t>The results obtained are in line with the results of another study showing efficacy</w:t>
      </w:r>
      <w:r w:rsidRPr="00437441">
        <w:rPr>
          <w:rFonts w:ascii="Garamond" w:hAnsi="Garamond" w:cs="Times New Roman"/>
          <w:sz w:val="24"/>
          <w:szCs w:val="24"/>
        </w:rPr>
        <w:t xml:space="preserve"> of multicomponent interventions (4). </w:t>
      </w:r>
      <w:r w:rsidRPr="00437441">
        <w:rPr>
          <w:rStyle w:val="shorttext"/>
          <w:rFonts w:ascii="Garamond" w:hAnsi="Garamond" w:cs="Times New Roman"/>
          <w:sz w:val="24"/>
          <w:szCs w:val="24"/>
          <w:lang w:val="en"/>
        </w:rPr>
        <w:t>The results indicate that</w:t>
      </w:r>
      <w:r w:rsidRPr="00437441">
        <w:rPr>
          <w:rFonts w:ascii="Garamond" w:hAnsi="Garamond" w:cs="Times New Roman"/>
          <w:sz w:val="24"/>
          <w:szCs w:val="24"/>
        </w:rPr>
        <w:t xml:space="preserve"> there is </w:t>
      </w:r>
      <w:r w:rsidRPr="0043744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 need for multicomponent, interdisciplinary programs that target overweight people that teach them skills specific to the maintenance of weight loss. </w:t>
      </w:r>
      <w:r w:rsidRPr="00437441">
        <w:rPr>
          <w:rFonts w:ascii="Garamond" w:hAnsi="Garamond" w:cs="Times New Roman"/>
          <w:color w:val="000000"/>
          <w:sz w:val="24"/>
          <w:szCs w:val="24"/>
        </w:rPr>
        <w:t xml:space="preserve">Multidisciplinary </w:t>
      </w:r>
      <w:r w:rsidRPr="00437441">
        <w:rPr>
          <w:rFonts w:ascii="Garamond" w:hAnsi="Garamond" w:cs="Times New Roman"/>
          <w:color w:val="000000"/>
          <w:sz w:val="24"/>
          <w:szCs w:val="24"/>
        </w:rPr>
        <w:lastRenderedPageBreak/>
        <w:t>programs that involve frequent follow-up with providers and use a cognitive behavioral ap</w:t>
      </w:r>
      <w:r w:rsidRPr="00437441">
        <w:rPr>
          <w:rFonts w:ascii="Garamond" w:hAnsi="Garamond" w:cs="Times New Roman"/>
          <w:color w:val="000000"/>
          <w:sz w:val="24"/>
          <w:szCs w:val="24"/>
        </w:rPr>
        <w:t>proach are associated with the greatest weight loss (5).</w:t>
      </w:r>
    </w:p>
    <w:p w14:paraId="776BB81B" w14:textId="77777777" w:rsidR="00B7402B" w:rsidRDefault="00B7402B" w:rsidP="00B7402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color w:val="000000"/>
          <w:sz w:val="24"/>
          <w:szCs w:val="24"/>
        </w:rPr>
        <w:sectPr w:rsidR="00B7402B" w:rsidSect="00B7402B">
          <w:type w:val="continuous"/>
          <w:pgSz w:w="12240" w:h="15840" w:code="1"/>
          <w:pgMar w:top="1701" w:right="1134" w:bottom="1418" w:left="1134" w:header="720" w:footer="720" w:gutter="0"/>
          <w:cols w:num="2" w:space="720"/>
          <w:titlePg/>
          <w:docGrid w:linePitch="360"/>
        </w:sectPr>
      </w:pPr>
    </w:p>
    <w:p w14:paraId="24CC4EAD" w14:textId="7A82CAAF" w:rsidR="00B7402B" w:rsidRPr="00B7402B" w:rsidRDefault="00B7402B" w:rsidP="00B7402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437441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187A9CE5" w14:textId="77777777" w:rsidR="00B7402B" w:rsidRPr="00B7402B" w:rsidRDefault="00B7402B" w:rsidP="00B7402B">
      <w:pPr>
        <w:pStyle w:val="NormalWeb"/>
        <w:spacing w:before="0" w:beforeAutospacing="0" w:after="0" w:afterAutospacing="0"/>
        <w:jc w:val="center"/>
        <w:rPr>
          <w:rFonts w:ascii="Garamond" w:hAnsi="Garamond"/>
          <w:sz w:val="22"/>
          <w:szCs w:val="22"/>
        </w:rPr>
      </w:pPr>
      <w:r w:rsidRPr="00B7402B">
        <w:rPr>
          <w:rFonts w:ascii="Garamond" w:hAnsi="Garamond"/>
          <w:b/>
          <w:bCs/>
          <w:color w:val="365F91" w:themeColor="accent1" w:themeShade="BF"/>
          <w:sz w:val="22"/>
          <w:szCs w:val="22"/>
        </w:rPr>
        <w:t>Table 1:</w:t>
      </w:r>
      <w:r w:rsidRPr="00B7402B">
        <w:rPr>
          <w:rFonts w:ascii="Garamond" w:hAnsi="Garamond"/>
          <w:color w:val="365F91" w:themeColor="accent1" w:themeShade="BF"/>
          <w:sz w:val="22"/>
          <w:szCs w:val="22"/>
        </w:rPr>
        <w:t xml:space="preserve"> </w:t>
      </w:r>
      <w:r w:rsidRPr="00B7402B">
        <w:rPr>
          <w:rFonts w:ascii="Garamond" w:hAnsi="Garamond"/>
          <w:sz w:val="22"/>
          <w:szCs w:val="22"/>
        </w:rPr>
        <w:t>The</w:t>
      </w:r>
      <w:r w:rsidRPr="00B7402B">
        <w:rPr>
          <w:rFonts w:ascii="Garamond" w:hAnsi="Garamond"/>
          <w:sz w:val="22"/>
          <w:szCs w:val="22"/>
          <w:lang w:val="en-GB"/>
        </w:rPr>
        <w:t xml:space="preserve"> WHOQOL-BREFF </w:t>
      </w:r>
      <w:r w:rsidRPr="00B7402B">
        <w:rPr>
          <w:rFonts w:ascii="Garamond" w:hAnsi="Garamond"/>
          <w:sz w:val="22"/>
          <w:szCs w:val="22"/>
        </w:rPr>
        <w:t>(overall quality of life</w:t>
      </w:r>
      <w:r w:rsidRPr="00B7402B">
        <w:rPr>
          <w:rFonts w:ascii="Garamond" w:hAnsi="Garamond"/>
          <w:sz w:val="22"/>
          <w:szCs w:val="22"/>
          <w:lang w:val="en-GB"/>
        </w:rPr>
        <w:t>)-</w:t>
      </w:r>
      <w:r w:rsidRPr="00B7402B">
        <w:rPr>
          <w:rFonts w:ascii="Garamond" w:hAnsi="Garamond"/>
          <w:sz w:val="22"/>
          <w:szCs w:val="22"/>
        </w:rPr>
        <w:t xml:space="preserve"> ANOVA Friedman Test</w:t>
      </w:r>
    </w:p>
    <w:p w14:paraId="4CF3059C" w14:textId="77777777" w:rsidR="00B7402B" w:rsidRPr="00437441" w:rsidRDefault="00B7402B" w:rsidP="00B7402B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FF"/>
        </w:rPr>
      </w:pPr>
    </w:p>
    <w:tbl>
      <w:tblPr>
        <w:tblStyle w:val="TableClassic1"/>
        <w:tblW w:w="8190" w:type="dxa"/>
        <w:jc w:val="center"/>
        <w:tblLook w:val="0420" w:firstRow="1" w:lastRow="0" w:firstColumn="0" w:lastColumn="0" w:noHBand="0" w:noVBand="1"/>
      </w:tblPr>
      <w:tblGrid>
        <w:gridCol w:w="4350"/>
        <w:gridCol w:w="968"/>
        <w:gridCol w:w="960"/>
        <w:gridCol w:w="968"/>
        <w:gridCol w:w="1076"/>
      </w:tblGrid>
      <w:tr w:rsidR="00B7402B" w:rsidRPr="00B7402B" w14:paraId="2FE66DAB" w14:textId="77777777" w:rsidTr="00B74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tcW w:w="4350" w:type="dxa"/>
            <w:noWrap/>
          </w:tcPr>
          <w:p w14:paraId="32E1C92B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ANOVA Friedman</w:t>
            </w:r>
          </w:p>
        </w:tc>
        <w:tc>
          <w:tcPr>
            <w:tcW w:w="960" w:type="dxa"/>
            <w:noWrap/>
          </w:tcPr>
          <w:p w14:paraId="1AEF5782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eastAsia="Arial Unicode MS" w:hAnsi="Garamond" w:cs="Times New Roman"/>
                <w:b/>
                <w:bCs/>
              </w:rPr>
              <w:t>Average</w:t>
            </w:r>
          </w:p>
        </w:tc>
        <w:tc>
          <w:tcPr>
            <w:tcW w:w="960" w:type="dxa"/>
            <w:noWrap/>
          </w:tcPr>
          <w:p w14:paraId="6AFCC461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Sum</w:t>
            </w:r>
          </w:p>
        </w:tc>
        <w:tc>
          <w:tcPr>
            <w:tcW w:w="960" w:type="dxa"/>
            <w:noWrap/>
          </w:tcPr>
          <w:p w14:paraId="7E06B93E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Average</w:t>
            </w:r>
          </w:p>
        </w:tc>
        <w:tc>
          <w:tcPr>
            <w:tcW w:w="960" w:type="dxa"/>
            <w:noWrap/>
          </w:tcPr>
          <w:p w14:paraId="62FD710A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Standard deviation</w:t>
            </w:r>
          </w:p>
        </w:tc>
      </w:tr>
      <w:tr w:rsidR="00B7402B" w:rsidRPr="00B7402B" w14:paraId="5D3A68E3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3609F537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 xml:space="preserve">Chi square ANOVA </w:t>
            </w:r>
          </w:p>
        </w:tc>
        <w:tc>
          <w:tcPr>
            <w:tcW w:w="0" w:type="auto"/>
            <w:noWrap/>
          </w:tcPr>
          <w:p w14:paraId="37110C62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Range</w:t>
            </w:r>
          </w:p>
        </w:tc>
        <w:tc>
          <w:tcPr>
            <w:tcW w:w="0" w:type="auto"/>
            <w:noWrap/>
          </w:tcPr>
          <w:p w14:paraId="2414D76E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Range</w:t>
            </w:r>
          </w:p>
        </w:tc>
        <w:tc>
          <w:tcPr>
            <w:tcW w:w="0" w:type="auto"/>
            <w:noWrap/>
          </w:tcPr>
          <w:p w14:paraId="4E9969E8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6E80C60A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</w:tr>
      <w:tr w:rsidR="00B7402B" w:rsidRPr="00B7402B" w14:paraId="65061A98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24D6C507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life I</w:t>
            </w:r>
          </w:p>
        </w:tc>
        <w:tc>
          <w:tcPr>
            <w:tcW w:w="0" w:type="auto"/>
            <w:noWrap/>
          </w:tcPr>
          <w:p w14:paraId="5E515AFC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1.7</w:t>
            </w:r>
          </w:p>
        </w:tc>
        <w:tc>
          <w:tcPr>
            <w:tcW w:w="0" w:type="auto"/>
            <w:noWrap/>
          </w:tcPr>
          <w:p w14:paraId="721C4D49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73.0</w:t>
            </w:r>
          </w:p>
        </w:tc>
        <w:tc>
          <w:tcPr>
            <w:tcW w:w="0" w:type="auto"/>
            <w:noWrap/>
          </w:tcPr>
          <w:p w14:paraId="42CDDE42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3.3</w:t>
            </w:r>
          </w:p>
        </w:tc>
        <w:tc>
          <w:tcPr>
            <w:tcW w:w="0" w:type="auto"/>
            <w:noWrap/>
          </w:tcPr>
          <w:p w14:paraId="6ED463D0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0,8</w:t>
            </w:r>
          </w:p>
        </w:tc>
      </w:tr>
      <w:tr w:rsidR="00B7402B" w:rsidRPr="00B7402B" w14:paraId="5CBCCC41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3637391F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life II</w:t>
            </w:r>
          </w:p>
        </w:tc>
        <w:tc>
          <w:tcPr>
            <w:tcW w:w="0" w:type="auto"/>
            <w:noWrap/>
          </w:tcPr>
          <w:p w14:paraId="7F97366C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2.8</w:t>
            </w:r>
          </w:p>
        </w:tc>
        <w:tc>
          <w:tcPr>
            <w:tcW w:w="0" w:type="auto"/>
            <w:noWrap/>
          </w:tcPr>
          <w:p w14:paraId="670FB71B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122.7</w:t>
            </w:r>
          </w:p>
        </w:tc>
        <w:tc>
          <w:tcPr>
            <w:tcW w:w="0" w:type="auto"/>
            <w:noWrap/>
          </w:tcPr>
          <w:p w14:paraId="60F079F9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4.5</w:t>
            </w:r>
          </w:p>
        </w:tc>
        <w:tc>
          <w:tcPr>
            <w:tcW w:w="0" w:type="auto"/>
            <w:noWrap/>
          </w:tcPr>
          <w:p w14:paraId="04842645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0,9</w:t>
            </w:r>
          </w:p>
        </w:tc>
      </w:tr>
      <w:tr w:rsidR="00B7402B" w:rsidRPr="00B7402B" w14:paraId="152104A4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51F4B360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life III</w:t>
            </w:r>
          </w:p>
        </w:tc>
        <w:tc>
          <w:tcPr>
            <w:tcW w:w="0" w:type="auto"/>
            <w:noWrap/>
          </w:tcPr>
          <w:p w14:paraId="33925AF1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3.2</w:t>
            </w:r>
          </w:p>
        </w:tc>
        <w:tc>
          <w:tcPr>
            <w:tcW w:w="0" w:type="auto"/>
            <w:noWrap/>
          </w:tcPr>
          <w:p w14:paraId="10B7AD11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138.7</w:t>
            </w:r>
          </w:p>
        </w:tc>
        <w:tc>
          <w:tcPr>
            <w:tcW w:w="0" w:type="auto"/>
            <w:noWrap/>
          </w:tcPr>
          <w:p w14:paraId="71770CA9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4.7</w:t>
            </w:r>
          </w:p>
        </w:tc>
        <w:tc>
          <w:tcPr>
            <w:tcW w:w="0" w:type="auto"/>
            <w:noWrap/>
          </w:tcPr>
          <w:p w14:paraId="7F2DA507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0,6</w:t>
            </w:r>
          </w:p>
        </w:tc>
      </w:tr>
      <w:tr w:rsidR="00B7402B" w:rsidRPr="00B7402B" w14:paraId="0493BAE9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2EBBCE3D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Value p – post-hoc</w:t>
            </w:r>
          </w:p>
        </w:tc>
        <w:tc>
          <w:tcPr>
            <w:tcW w:w="0" w:type="auto"/>
            <w:noWrap/>
          </w:tcPr>
          <w:p w14:paraId="75E3B8A6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3C2FA4E0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0AD506DC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2974E576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</w:tr>
      <w:tr w:rsidR="00B7402B" w:rsidRPr="00B7402B" w14:paraId="0D783D65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3276245C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life I</w:t>
            </w:r>
          </w:p>
        </w:tc>
        <w:tc>
          <w:tcPr>
            <w:tcW w:w="0" w:type="auto"/>
            <w:noWrap/>
          </w:tcPr>
          <w:p w14:paraId="795D9B3C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17194762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  <w:tc>
          <w:tcPr>
            <w:tcW w:w="0" w:type="auto"/>
            <w:noWrap/>
          </w:tcPr>
          <w:p w14:paraId="3FD4345F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  <w:tc>
          <w:tcPr>
            <w:tcW w:w="0" w:type="auto"/>
            <w:noWrap/>
          </w:tcPr>
          <w:p w14:paraId="4AE9FC13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</w:tr>
      <w:tr w:rsidR="00B7402B" w:rsidRPr="00B7402B" w14:paraId="655BB9AC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58D81306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life II</w:t>
            </w:r>
          </w:p>
        </w:tc>
        <w:tc>
          <w:tcPr>
            <w:tcW w:w="0" w:type="auto"/>
            <w:noWrap/>
          </w:tcPr>
          <w:p w14:paraId="745EA405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  <w:tc>
          <w:tcPr>
            <w:tcW w:w="0" w:type="auto"/>
            <w:noWrap/>
          </w:tcPr>
          <w:p w14:paraId="6DC741A9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102ED554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0.010</w:t>
            </w:r>
          </w:p>
        </w:tc>
        <w:tc>
          <w:tcPr>
            <w:tcW w:w="0" w:type="auto"/>
            <w:noWrap/>
          </w:tcPr>
          <w:p w14:paraId="6FBA9E67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0.287</w:t>
            </w:r>
          </w:p>
        </w:tc>
      </w:tr>
      <w:tr w:rsidR="00B7402B" w:rsidRPr="00B7402B" w14:paraId="1A87A0FA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0AEED6D3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life III</w:t>
            </w:r>
          </w:p>
        </w:tc>
        <w:tc>
          <w:tcPr>
            <w:tcW w:w="0" w:type="auto"/>
            <w:noWrap/>
          </w:tcPr>
          <w:p w14:paraId="07B4203E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  <w:tc>
          <w:tcPr>
            <w:tcW w:w="0" w:type="auto"/>
            <w:noWrap/>
          </w:tcPr>
          <w:p w14:paraId="244597DB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0.010</w:t>
            </w:r>
          </w:p>
        </w:tc>
        <w:tc>
          <w:tcPr>
            <w:tcW w:w="0" w:type="auto"/>
            <w:noWrap/>
          </w:tcPr>
          <w:p w14:paraId="1CDF8247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4595AFD7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</w:tr>
    </w:tbl>
    <w:p w14:paraId="4515CCAD" w14:textId="77777777" w:rsidR="00B7402B" w:rsidRPr="007F1818" w:rsidRDefault="00B7402B" w:rsidP="00B7402B">
      <w:pPr>
        <w:spacing w:after="0"/>
        <w:jc w:val="both"/>
        <w:rPr>
          <w:rFonts w:ascii="Garamond" w:eastAsia="Times New Roman" w:hAnsi="Garamond" w:cs="Times New Roman"/>
          <w:sz w:val="20"/>
          <w:szCs w:val="20"/>
          <w:lang w:val="en" w:eastAsia="pl-PL"/>
        </w:rPr>
      </w:pPr>
      <w:r w:rsidRPr="007F1818">
        <w:rPr>
          <w:rFonts w:ascii="Garamond" w:eastAsia="Times New Roman" w:hAnsi="Garamond" w:cs="Times New Roman"/>
          <w:sz w:val="20"/>
          <w:szCs w:val="20"/>
          <w:lang w:val="en" w:eastAsia="pl-PL"/>
        </w:rPr>
        <w:t>A statistically significant (</w:t>
      </w:r>
      <w:r w:rsidRPr="007F1818">
        <w:rPr>
          <w:rFonts w:ascii="Garamond" w:eastAsia="Times New Roman" w:hAnsi="Garamond" w:cs="Times New Roman"/>
          <w:i/>
          <w:iCs/>
          <w:sz w:val="20"/>
          <w:szCs w:val="20"/>
          <w:lang w:val="en" w:eastAsia="pl-PL"/>
        </w:rPr>
        <w:t>P</w:t>
      </w:r>
      <w:r w:rsidRPr="007F1818">
        <w:rPr>
          <w:rFonts w:ascii="Garamond" w:eastAsia="Times New Roman" w:hAnsi="Garamond" w:cs="Times New Roman"/>
          <w:sz w:val="20"/>
          <w:szCs w:val="20"/>
          <w:lang w:val="en" w:eastAsia="pl-PL"/>
        </w:rPr>
        <w:t>=0.000) difference between overall quality of life (WHOQOL BREF) between I-III was observed.</w:t>
      </w:r>
    </w:p>
    <w:p w14:paraId="4462BFB6" w14:textId="77777777" w:rsidR="00B7402B" w:rsidRPr="00437441" w:rsidRDefault="00B7402B" w:rsidP="00B7402B">
      <w:pPr>
        <w:spacing w:after="0"/>
        <w:jc w:val="both"/>
        <w:rPr>
          <w:rFonts w:ascii="Garamond" w:hAnsi="Garamond" w:cs="Times New Roman"/>
          <w:sz w:val="24"/>
          <w:szCs w:val="24"/>
          <w:lang w:val="en"/>
        </w:rPr>
      </w:pPr>
    </w:p>
    <w:p w14:paraId="1B618728" w14:textId="77777777" w:rsidR="00B7402B" w:rsidRPr="00B7402B" w:rsidRDefault="00B7402B" w:rsidP="00B7402B">
      <w:pPr>
        <w:spacing w:after="0"/>
        <w:jc w:val="center"/>
        <w:rPr>
          <w:rFonts w:ascii="Garamond" w:hAnsi="Garamond" w:cs="Times New Roman"/>
        </w:rPr>
      </w:pPr>
      <w:r w:rsidRPr="00B7402B">
        <w:rPr>
          <w:rFonts w:ascii="Garamond" w:hAnsi="Garamond" w:cs="Times New Roman"/>
          <w:b/>
          <w:bCs/>
          <w:color w:val="365F91" w:themeColor="accent1" w:themeShade="BF"/>
        </w:rPr>
        <w:t>Table 2</w:t>
      </w:r>
      <w:r w:rsidRPr="003813AD">
        <w:rPr>
          <w:rFonts w:ascii="Garamond" w:hAnsi="Garamond" w:cs="Times New Roman"/>
          <w:b/>
          <w:bCs/>
          <w:color w:val="365F91" w:themeColor="accent1" w:themeShade="BF"/>
        </w:rPr>
        <w:t>:</w:t>
      </w:r>
      <w:r w:rsidRPr="00B7402B">
        <w:rPr>
          <w:rFonts w:ascii="Garamond" w:hAnsi="Garamond" w:cs="Times New Roman"/>
          <w:color w:val="365F91" w:themeColor="accent1" w:themeShade="BF"/>
        </w:rPr>
        <w:t xml:space="preserve"> </w:t>
      </w:r>
      <w:r w:rsidRPr="00B7402B">
        <w:rPr>
          <w:rFonts w:ascii="Garamond" w:hAnsi="Garamond" w:cs="Times New Roman"/>
        </w:rPr>
        <w:t>The</w:t>
      </w:r>
      <w:r w:rsidRPr="00B7402B">
        <w:rPr>
          <w:rFonts w:ascii="Garamond" w:hAnsi="Garamond" w:cs="Times New Roman"/>
          <w:lang w:val="en-GB"/>
        </w:rPr>
        <w:t xml:space="preserve"> WHOQOL-BREFF </w:t>
      </w:r>
      <w:r w:rsidRPr="00B7402B">
        <w:rPr>
          <w:rFonts w:ascii="Garamond" w:hAnsi="Garamond" w:cs="Times New Roman"/>
        </w:rPr>
        <w:t>(overall quality of health</w:t>
      </w:r>
      <w:r w:rsidRPr="00B7402B">
        <w:rPr>
          <w:rFonts w:ascii="Garamond" w:hAnsi="Garamond" w:cs="Times New Roman"/>
          <w:lang w:val="en-GB"/>
        </w:rPr>
        <w:t>)-</w:t>
      </w:r>
      <w:r w:rsidRPr="00B7402B">
        <w:rPr>
          <w:rFonts w:ascii="Garamond" w:hAnsi="Garamond" w:cs="Times New Roman"/>
          <w:lang w:val="en"/>
        </w:rPr>
        <w:t xml:space="preserve"> </w:t>
      </w:r>
      <w:r w:rsidRPr="00B7402B">
        <w:rPr>
          <w:rFonts w:ascii="Garamond" w:hAnsi="Garamond" w:cs="Times New Roman"/>
        </w:rPr>
        <w:t>ANOVA Friedman Test</w:t>
      </w:r>
    </w:p>
    <w:p w14:paraId="4987156B" w14:textId="77777777" w:rsidR="00B7402B" w:rsidRPr="00437441" w:rsidRDefault="00B7402B" w:rsidP="00B7402B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Style w:val="TableClassic1"/>
        <w:tblW w:w="8763" w:type="dxa"/>
        <w:jc w:val="center"/>
        <w:tblLook w:val="0420" w:firstRow="1" w:lastRow="0" w:firstColumn="0" w:lastColumn="0" w:noHBand="0" w:noVBand="1"/>
      </w:tblPr>
      <w:tblGrid>
        <w:gridCol w:w="4923"/>
        <w:gridCol w:w="968"/>
        <w:gridCol w:w="960"/>
        <w:gridCol w:w="968"/>
        <w:gridCol w:w="1076"/>
      </w:tblGrid>
      <w:tr w:rsidR="00B7402B" w:rsidRPr="00B7402B" w14:paraId="4492EAF9" w14:textId="77777777" w:rsidTr="00B74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tcW w:w="4923" w:type="dxa"/>
            <w:noWrap/>
          </w:tcPr>
          <w:p w14:paraId="078ABB70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ANOVA Friedman</w:t>
            </w:r>
          </w:p>
        </w:tc>
        <w:tc>
          <w:tcPr>
            <w:tcW w:w="960" w:type="dxa"/>
            <w:noWrap/>
          </w:tcPr>
          <w:p w14:paraId="70456A1D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Average</w:t>
            </w:r>
          </w:p>
        </w:tc>
        <w:tc>
          <w:tcPr>
            <w:tcW w:w="960" w:type="dxa"/>
            <w:noWrap/>
          </w:tcPr>
          <w:p w14:paraId="3204BDBE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Sum</w:t>
            </w:r>
          </w:p>
        </w:tc>
        <w:tc>
          <w:tcPr>
            <w:tcW w:w="960" w:type="dxa"/>
            <w:noWrap/>
          </w:tcPr>
          <w:p w14:paraId="7AEFE861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Average</w:t>
            </w:r>
          </w:p>
        </w:tc>
        <w:tc>
          <w:tcPr>
            <w:tcW w:w="960" w:type="dxa"/>
            <w:noWrap/>
          </w:tcPr>
          <w:p w14:paraId="60B2C094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  <w:b/>
                <w:bCs/>
              </w:rPr>
            </w:pPr>
            <w:r w:rsidRPr="00B7402B">
              <w:rPr>
                <w:rFonts w:ascii="Garamond" w:hAnsi="Garamond" w:cs="Times New Roman"/>
                <w:b/>
                <w:bCs/>
              </w:rPr>
              <w:t>Standard deviation</w:t>
            </w:r>
          </w:p>
        </w:tc>
      </w:tr>
      <w:tr w:rsidR="00B7402B" w:rsidRPr="00B7402B" w14:paraId="461FBF49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534D19F0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 xml:space="preserve">Chi square ANOVA (N = 98 , df 3 ) =41.7 </w:t>
            </w:r>
            <w:r w:rsidRPr="00B7402B">
              <w:rPr>
                <w:rFonts w:ascii="Garamond" w:hAnsi="Garamond" w:cs="Times New Roman"/>
                <w:i/>
                <w:iCs/>
              </w:rPr>
              <w:t>P</w:t>
            </w:r>
            <w:r w:rsidRPr="00B7402B">
              <w:rPr>
                <w:rFonts w:ascii="Garamond" w:hAnsi="Garamond" w:cs="Times New Roman"/>
              </w:rPr>
              <w:t>=0.00</w:t>
            </w:r>
            <w:r w:rsidRPr="00B7402B">
              <w:rPr>
                <w:rFonts w:ascii="Garamond" w:eastAsia="Arial Unicode MS" w:hAnsi="Garamond" w:cs="Times New Roman"/>
              </w:rPr>
              <w:t>1</w:t>
            </w:r>
          </w:p>
        </w:tc>
        <w:tc>
          <w:tcPr>
            <w:tcW w:w="0" w:type="auto"/>
            <w:noWrap/>
          </w:tcPr>
          <w:p w14:paraId="4FE8F0F7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Range</w:t>
            </w:r>
          </w:p>
        </w:tc>
        <w:tc>
          <w:tcPr>
            <w:tcW w:w="0" w:type="auto"/>
            <w:noWrap/>
          </w:tcPr>
          <w:p w14:paraId="36711956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Range</w:t>
            </w:r>
          </w:p>
        </w:tc>
        <w:tc>
          <w:tcPr>
            <w:tcW w:w="0" w:type="auto"/>
            <w:noWrap/>
          </w:tcPr>
          <w:p w14:paraId="2BE5B769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26B9EF58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</w:tr>
      <w:tr w:rsidR="00B7402B" w:rsidRPr="00B7402B" w14:paraId="027FDF64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4AFA35D3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health I</w:t>
            </w:r>
          </w:p>
        </w:tc>
        <w:tc>
          <w:tcPr>
            <w:tcW w:w="0" w:type="auto"/>
            <w:noWrap/>
          </w:tcPr>
          <w:p w14:paraId="7BEFC57A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2.2</w:t>
            </w:r>
          </w:p>
        </w:tc>
        <w:tc>
          <w:tcPr>
            <w:tcW w:w="0" w:type="auto"/>
            <w:noWrap/>
          </w:tcPr>
          <w:p w14:paraId="3877D3C1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90.2</w:t>
            </w:r>
          </w:p>
        </w:tc>
        <w:tc>
          <w:tcPr>
            <w:tcW w:w="0" w:type="auto"/>
            <w:noWrap/>
          </w:tcPr>
          <w:p w14:paraId="68036575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3.8</w:t>
            </w:r>
          </w:p>
        </w:tc>
        <w:tc>
          <w:tcPr>
            <w:tcW w:w="0" w:type="auto"/>
            <w:noWrap/>
          </w:tcPr>
          <w:p w14:paraId="65582B3E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0.7</w:t>
            </w:r>
          </w:p>
        </w:tc>
      </w:tr>
      <w:tr w:rsidR="00B7402B" w:rsidRPr="00B7402B" w14:paraId="192E9459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7EA9A816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health II</w:t>
            </w:r>
          </w:p>
        </w:tc>
        <w:tc>
          <w:tcPr>
            <w:tcW w:w="0" w:type="auto"/>
            <w:noWrap/>
          </w:tcPr>
          <w:p w14:paraId="4DA24D01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2.7</w:t>
            </w:r>
          </w:p>
        </w:tc>
        <w:tc>
          <w:tcPr>
            <w:tcW w:w="0" w:type="auto"/>
            <w:noWrap/>
          </w:tcPr>
          <w:p w14:paraId="6670F741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114.2</w:t>
            </w:r>
          </w:p>
        </w:tc>
        <w:tc>
          <w:tcPr>
            <w:tcW w:w="0" w:type="auto"/>
            <w:noWrap/>
          </w:tcPr>
          <w:p w14:paraId="16CA54EE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4.1</w:t>
            </w:r>
          </w:p>
        </w:tc>
        <w:tc>
          <w:tcPr>
            <w:tcW w:w="0" w:type="auto"/>
            <w:noWrap/>
          </w:tcPr>
          <w:p w14:paraId="6B28D98B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0.9</w:t>
            </w:r>
          </w:p>
        </w:tc>
      </w:tr>
      <w:tr w:rsidR="00B7402B" w:rsidRPr="00B7402B" w14:paraId="63F4A497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2AFDCEB5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health III</w:t>
            </w:r>
          </w:p>
        </w:tc>
        <w:tc>
          <w:tcPr>
            <w:tcW w:w="0" w:type="auto"/>
            <w:noWrap/>
          </w:tcPr>
          <w:p w14:paraId="65EFCE51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3.1</w:t>
            </w:r>
          </w:p>
        </w:tc>
        <w:tc>
          <w:tcPr>
            <w:tcW w:w="0" w:type="auto"/>
            <w:noWrap/>
          </w:tcPr>
          <w:p w14:paraId="3BCAEE17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132.2</w:t>
            </w:r>
          </w:p>
        </w:tc>
        <w:tc>
          <w:tcPr>
            <w:tcW w:w="0" w:type="auto"/>
            <w:noWrap/>
          </w:tcPr>
          <w:p w14:paraId="731CBB13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4.3</w:t>
            </w:r>
          </w:p>
        </w:tc>
        <w:tc>
          <w:tcPr>
            <w:tcW w:w="0" w:type="auto"/>
            <w:noWrap/>
          </w:tcPr>
          <w:p w14:paraId="3041B620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0.6</w:t>
            </w:r>
          </w:p>
        </w:tc>
      </w:tr>
      <w:tr w:rsidR="00B7402B" w:rsidRPr="00B7402B" w14:paraId="18F88F3C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3B5B332F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Value p – post-hoc</w:t>
            </w:r>
          </w:p>
        </w:tc>
        <w:tc>
          <w:tcPr>
            <w:tcW w:w="0" w:type="auto"/>
            <w:noWrap/>
          </w:tcPr>
          <w:p w14:paraId="34C7755B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62EDF162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5D5227D3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33CEA0B8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</w:tr>
      <w:tr w:rsidR="00B7402B" w:rsidRPr="00B7402B" w14:paraId="4EA04E5E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129BA2DA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health I</w:t>
            </w:r>
          </w:p>
        </w:tc>
        <w:tc>
          <w:tcPr>
            <w:tcW w:w="0" w:type="auto"/>
            <w:noWrap/>
          </w:tcPr>
          <w:p w14:paraId="77C3458E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195059EA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  <w:tc>
          <w:tcPr>
            <w:tcW w:w="0" w:type="auto"/>
            <w:noWrap/>
          </w:tcPr>
          <w:p w14:paraId="3A962D44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  <w:tc>
          <w:tcPr>
            <w:tcW w:w="0" w:type="auto"/>
            <w:noWrap/>
          </w:tcPr>
          <w:p w14:paraId="2E535994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</w:tr>
      <w:tr w:rsidR="00B7402B" w:rsidRPr="00B7402B" w14:paraId="6F26B63C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76EB508D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health II</w:t>
            </w:r>
          </w:p>
        </w:tc>
        <w:tc>
          <w:tcPr>
            <w:tcW w:w="0" w:type="auto"/>
            <w:noWrap/>
          </w:tcPr>
          <w:p w14:paraId="3C7E1A59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  <w:tc>
          <w:tcPr>
            <w:tcW w:w="0" w:type="auto"/>
            <w:noWrap/>
          </w:tcPr>
          <w:p w14:paraId="4CC59C2D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54054E00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0.002</w:t>
            </w:r>
          </w:p>
        </w:tc>
        <w:tc>
          <w:tcPr>
            <w:tcW w:w="0" w:type="auto"/>
            <w:noWrap/>
          </w:tcPr>
          <w:p w14:paraId="6A8E462A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1.000</w:t>
            </w:r>
          </w:p>
        </w:tc>
      </w:tr>
      <w:tr w:rsidR="00B7402B" w:rsidRPr="00B7402B" w14:paraId="39BD957F" w14:textId="77777777" w:rsidTr="00B7402B">
        <w:trPr>
          <w:trHeight w:val="255"/>
          <w:jc w:val="center"/>
        </w:trPr>
        <w:tc>
          <w:tcPr>
            <w:tcW w:w="0" w:type="auto"/>
            <w:noWrap/>
          </w:tcPr>
          <w:p w14:paraId="3B2A1B1A" w14:textId="77777777" w:rsidR="00B7402B" w:rsidRPr="00B7402B" w:rsidRDefault="00B7402B" w:rsidP="002654DA">
            <w:pPr>
              <w:spacing w:after="0"/>
              <w:jc w:val="both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Overall quality of health III</w:t>
            </w:r>
          </w:p>
        </w:tc>
        <w:tc>
          <w:tcPr>
            <w:tcW w:w="0" w:type="auto"/>
            <w:noWrap/>
          </w:tcPr>
          <w:p w14:paraId="595E7F4C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0.000</w:t>
            </w:r>
          </w:p>
        </w:tc>
        <w:tc>
          <w:tcPr>
            <w:tcW w:w="0" w:type="auto"/>
            <w:noWrap/>
          </w:tcPr>
          <w:p w14:paraId="1946720F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0.002</w:t>
            </w:r>
          </w:p>
        </w:tc>
        <w:tc>
          <w:tcPr>
            <w:tcW w:w="0" w:type="auto"/>
            <w:noWrap/>
          </w:tcPr>
          <w:p w14:paraId="3E926F0F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0" w:type="auto"/>
            <w:noWrap/>
          </w:tcPr>
          <w:p w14:paraId="12BB627A" w14:textId="77777777" w:rsidR="00B7402B" w:rsidRPr="00B7402B" w:rsidRDefault="00B7402B" w:rsidP="00B7402B">
            <w:pPr>
              <w:spacing w:after="0"/>
              <w:jc w:val="center"/>
              <w:rPr>
                <w:rFonts w:ascii="Garamond" w:eastAsia="Arial Unicode MS" w:hAnsi="Garamond" w:cs="Times New Roman"/>
              </w:rPr>
            </w:pPr>
            <w:r w:rsidRPr="00B7402B">
              <w:rPr>
                <w:rFonts w:ascii="Garamond" w:hAnsi="Garamond" w:cs="Times New Roman"/>
              </w:rPr>
              <w:t>0.002</w:t>
            </w:r>
          </w:p>
        </w:tc>
      </w:tr>
    </w:tbl>
    <w:p w14:paraId="391D054D" w14:textId="74F36C2C" w:rsidR="00B7402B" w:rsidRPr="007F1818" w:rsidRDefault="00B7402B" w:rsidP="007F1818">
      <w:pPr>
        <w:pStyle w:val="NormalWeb"/>
        <w:spacing w:before="0" w:beforeAutospacing="0" w:after="0" w:afterAutospacing="0"/>
        <w:jc w:val="both"/>
        <w:rPr>
          <w:rFonts w:ascii="Garamond" w:hAnsi="Garamond"/>
          <w:sz w:val="20"/>
          <w:szCs w:val="20"/>
          <w:lang w:val="en"/>
        </w:rPr>
      </w:pPr>
      <w:r w:rsidRPr="007F1818">
        <w:rPr>
          <w:rFonts w:ascii="Garamond" w:hAnsi="Garamond"/>
          <w:sz w:val="20"/>
          <w:szCs w:val="20"/>
          <w:lang w:val="en"/>
        </w:rPr>
        <w:t>A statistically significant (p = 0.000) difference was found between the overall quality of health (WHOQOL BREF) between measurements I-III.</w:t>
      </w:r>
      <w:r w:rsidR="007F1818" w:rsidRPr="007F1818">
        <w:rPr>
          <w:rFonts w:ascii="Garamond" w:hAnsi="Garamond"/>
          <w:sz w:val="20"/>
          <w:szCs w:val="20"/>
          <w:lang w:val="en"/>
        </w:rPr>
        <w:t xml:space="preserve"> </w:t>
      </w:r>
      <w:r w:rsidRPr="007F1818">
        <w:rPr>
          <w:rFonts w:ascii="Garamond" w:hAnsi="Garamond"/>
          <w:sz w:val="20"/>
          <w:szCs w:val="20"/>
          <w:lang w:val="en"/>
        </w:rPr>
        <w:t>Significant differences were for each time point (</w:t>
      </w:r>
      <w:r w:rsidRPr="007F1818">
        <w:rPr>
          <w:rFonts w:ascii="Garamond" w:hAnsi="Garamond"/>
          <w:i/>
          <w:iCs/>
          <w:sz w:val="20"/>
          <w:szCs w:val="20"/>
          <w:lang w:val="en"/>
        </w:rPr>
        <w:t>P</w:t>
      </w:r>
      <w:r w:rsidRPr="007F1818">
        <w:rPr>
          <w:rFonts w:ascii="Garamond" w:hAnsi="Garamond"/>
          <w:sz w:val="20"/>
          <w:szCs w:val="20"/>
          <w:lang w:val="en"/>
        </w:rPr>
        <w:t xml:space="preserve">&lt;0.05). </w:t>
      </w:r>
    </w:p>
    <w:p w14:paraId="770D0509" w14:textId="77777777" w:rsidR="00B7402B" w:rsidRPr="007F1818" w:rsidRDefault="00B7402B" w:rsidP="00B7402B">
      <w:pPr>
        <w:pStyle w:val="Normal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3D37DB22" w14:textId="77777777" w:rsidR="00B7402B" w:rsidRPr="007F1818" w:rsidRDefault="00B7402B" w:rsidP="00B7402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color w:val="000000"/>
          <w:sz w:val="20"/>
          <w:szCs w:val="20"/>
        </w:rPr>
        <w:sectPr w:rsidR="00B7402B" w:rsidRPr="007F1818" w:rsidSect="00B7402B">
          <w:type w:val="continuous"/>
          <w:pgSz w:w="12240" w:h="15840" w:code="1"/>
          <w:pgMar w:top="1701" w:right="1134" w:bottom="1418" w:left="1134" w:header="720" w:footer="720" w:gutter="0"/>
          <w:cols w:space="720"/>
          <w:titlePg/>
          <w:docGrid w:linePitch="360"/>
        </w:sectPr>
      </w:pPr>
    </w:p>
    <w:p w14:paraId="0DDB47C7" w14:textId="06A6848D" w:rsidR="00B7402B" w:rsidRPr="00437441" w:rsidRDefault="00B7402B" w:rsidP="00B7402B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437441">
        <w:rPr>
          <w:rFonts w:ascii="Garamond" w:hAnsi="Garamond" w:cs="Times New Roman"/>
          <w:color w:val="000000"/>
          <w:sz w:val="24"/>
          <w:szCs w:val="24"/>
        </w:rPr>
        <w:t>It is outlined that major components of such cognitive behavioral approaches, should focus on including self-monitoring, problem solving, nutrition education, stimulus control, cognitive restructuring, slowing down the rate of eating, and increasing exercise (6). Self-monitoring of physical activity and dietary intake (i.e., with a log), as well as monitoring of thoughts and emotions around food and eating can increase patients’ awareness of their problematic behaviors and cognitions and track progress.</w:t>
      </w:r>
    </w:p>
    <w:p w14:paraId="7891F2B8" w14:textId="77777777" w:rsidR="00B7402B" w:rsidRDefault="00B7402B" w:rsidP="00B7402B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14:paraId="305D50C5" w14:textId="77777777" w:rsidR="00B7402B" w:rsidRPr="00B7402B" w:rsidRDefault="00B7402B" w:rsidP="00B7402B">
      <w:pPr>
        <w:spacing w:after="0"/>
        <w:jc w:val="both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B7402B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Acknowledgements</w:t>
      </w:r>
    </w:p>
    <w:p w14:paraId="12197E3F" w14:textId="77777777" w:rsidR="00B7402B" w:rsidRPr="00437441" w:rsidRDefault="00B7402B" w:rsidP="00B7402B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14:paraId="06F0673E" w14:textId="77777777" w:rsidR="00B7402B" w:rsidRPr="00437441" w:rsidRDefault="00B7402B" w:rsidP="00B7402B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437441">
        <w:rPr>
          <w:rFonts w:ascii="Garamond" w:hAnsi="Garamond" w:cs="Times New Roman"/>
          <w:sz w:val="24"/>
          <w:szCs w:val="24"/>
        </w:rPr>
        <w:t>The authors declare that there is no conflict of interest.</w:t>
      </w:r>
    </w:p>
    <w:p w14:paraId="4FB5688D" w14:textId="77777777" w:rsidR="00B7402B" w:rsidRPr="00B7402B" w:rsidRDefault="00B7402B" w:rsidP="00B7402B">
      <w:pPr>
        <w:spacing w:after="0"/>
        <w:jc w:val="both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B7402B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References</w:t>
      </w:r>
    </w:p>
    <w:p w14:paraId="7D78B772" w14:textId="77777777" w:rsidR="00B7402B" w:rsidRPr="00437441" w:rsidRDefault="00B7402B" w:rsidP="00B7402B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B228288" w14:textId="77777777" w:rsidR="00B7402B" w:rsidRPr="00B7402B" w:rsidRDefault="00B7402B" w:rsidP="00B7402B">
      <w:pPr>
        <w:pStyle w:val="ListParagraph"/>
        <w:numPr>
          <w:ilvl w:val="0"/>
          <w:numId w:val="6"/>
        </w:numPr>
        <w:tabs>
          <w:tab w:val="left" w:pos="709"/>
        </w:tabs>
        <w:ind w:left="964" w:hanging="607"/>
        <w:contextualSpacing/>
        <w:jc w:val="both"/>
        <w:rPr>
          <w:rFonts w:ascii="Garamond" w:hAnsi="Garamond"/>
          <w:spacing w:val="-6"/>
          <w:sz w:val="22"/>
          <w:szCs w:val="22"/>
        </w:rPr>
      </w:pPr>
      <w:r w:rsidRPr="00B7402B">
        <w:rPr>
          <w:rFonts w:ascii="Garamond" w:hAnsi="Garamond"/>
          <w:spacing w:val="-6"/>
          <w:sz w:val="22"/>
          <w:szCs w:val="22"/>
        </w:rPr>
        <w:t xml:space="preserve">Groessl EJ, Kaplan RM, Barrett-Connor E, Ganiats TG (2004). Body mass index and quality of well-being in a community of older adults. </w:t>
      </w:r>
      <w:r w:rsidRPr="00B7402B">
        <w:rPr>
          <w:rFonts w:ascii="Garamond" w:hAnsi="Garamond"/>
          <w:i/>
          <w:iCs/>
          <w:spacing w:val="-6"/>
          <w:sz w:val="22"/>
          <w:szCs w:val="22"/>
        </w:rPr>
        <w:t>Am J Prev Med</w:t>
      </w:r>
      <w:r w:rsidRPr="00B7402B">
        <w:rPr>
          <w:rFonts w:ascii="Garamond" w:hAnsi="Garamond"/>
          <w:spacing w:val="-6"/>
          <w:sz w:val="22"/>
          <w:szCs w:val="22"/>
        </w:rPr>
        <w:t>, 26: 126-129.</w:t>
      </w:r>
    </w:p>
    <w:p w14:paraId="15F66776" w14:textId="77777777" w:rsidR="00B7402B" w:rsidRPr="00B7402B" w:rsidRDefault="00BA0403" w:rsidP="00B7402B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ind w:left="964" w:hanging="607"/>
        <w:contextualSpacing/>
        <w:jc w:val="both"/>
        <w:rPr>
          <w:rFonts w:ascii="Garamond" w:hAnsi="Garamond"/>
          <w:spacing w:val="-6"/>
          <w:sz w:val="22"/>
          <w:szCs w:val="22"/>
          <w:lang w:eastAsia="pl-PL"/>
        </w:rPr>
      </w:pPr>
      <w:hyperlink r:id="rId14" w:tooltip="Search for Salokangas, R.K.R." w:history="1">
        <w:r w:rsidR="00B7402B" w:rsidRPr="00B7402B">
          <w:rPr>
            <w:rFonts w:ascii="Garamond" w:hAnsi="Garamond"/>
            <w:spacing w:val="-6"/>
            <w:sz w:val="22"/>
            <w:szCs w:val="22"/>
            <w:lang w:eastAsia="pl-PL"/>
          </w:rPr>
          <w:t>Salokangas RKR</w:t>
        </w:r>
      </w:hyperlink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, </w:t>
      </w:r>
      <w:hyperlink r:id="rId15" w:tooltip="Search for Ruhrmann, S." w:history="1">
        <w:r w:rsidR="00B7402B" w:rsidRPr="00B7402B">
          <w:rPr>
            <w:rFonts w:ascii="Garamond" w:hAnsi="Garamond"/>
            <w:spacing w:val="-6"/>
            <w:sz w:val="22"/>
            <w:szCs w:val="22"/>
            <w:lang w:eastAsia="pl-PL"/>
          </w:rPr>
          <w:t>Ruhrmann S</w:t>
        </w:r>
      </w:hyperlink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, </w:t>
      </w:r>
      <w:hyperlink r:id="rId16" w:tooltip="Search for Graf von Reventlow, H." w:history="1">
        <w:r w:rsidR="00B7402B" w:rsidRPr="00B7402B">
          <w:rPr>
            <w:rFonts w:ascii="Garamond" w:hAnsi="Garamond"/>
            <w:spacing w:val="-6"/>
            <w:sz w:val="22"/>
            <w:szCs w:val="22"/>
            <w:lang w:eastAsia="pl-PL"/>
          </w:rPr>
          <w:t>Graf von Reventlow H</w:t>
        </w:r>
      </w:hyperlink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, et al (2012). O-51 - Axis I diagnoses and transition to psychosis in clinical high-risk patients. </w:t>
      </w:r>
      <w:hyperlink r:id="rId17" w:tooltip="Search for European Psychiatry" w:history="1">
        <w:r w:rsidR="00B7402B" w:rsidRPr="00B7402B">
          <w:rPr>
            <w:rFonts w:ascii="Garamond" w:hAnsi="Garamond"/>
            <w:i/>
            <w:iCs/>
            <w:spacing w:val="-6"/>
            <w:sz w:val="22"/>
            <w:szCs w:val="22"/>
            <w:lang w:eastAsia="pl-PL"/>
          </w:rPr>
          <w:t>Eur Psychiat</w:t>
        </w:r>
      </w:hyperlink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>, 27: Supple.1-1.</w:t>
      </w:r>
    </w:p>
    <w:p w14:paraId="28EBDB5B" w14:textId="77777777" w:rsidR="00B7402B" w:rsidRPr="00B7402B" w:rsidRDefault="00B7402B" w:rsidP="00B7402B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ind w:left="964" w:hanging="607"/>
        <w:contextualSpacing/>
        <w:jc w:val="both"/>
        <w:rPr>
          <w:rFonts w:ascii="Garamond" w:hAnsi="Garamond"/>
          <w:spacing w:val="-6"/>
          <w:sz w:val="22"/>
          <w:szCs w:val="22"/>
          <w:lang w:eastAsia="pl-PL"/>
        </w:rPr>
      </w:pPr>
      <w:r w:rsidRPr="00B7402B">
        <w:rPr>
          <w:rFonts w:ascii="Garamond" w:hAnsi="Garamond"/>
          <w:spacing w:val="-6"/>
          <w:sz w:val="22"/>
          <w:szCs w:val="22"/>
        </w:rPr>
        <w:t xml:space="preserve">Pratt KJ, Lazorick S, Lamson AL, Ivanescu A, et al (2013). Quality of life and BMI changes in youth participating in an integrated pediatric obesity treatment program. </w:t>
      </w:r>
      <w:r w:rsidRPr="00B7402B">
        <w:rPr>
          <w:rFonts w:ascii="Garamond" w:hAnsi="Garamond"/>
          <w:i/>
          <w:iCs/>
          <w:spacing w:val="-6"/>
          <w:sz w:val="22"/>
          <w:szCs w:val="22"/>
        </w:rPr>
        <w:t>Health Qual Life Outcomes</w:t>
      </w:r>
      <w:r w:rsidRPr="00B7402B">
        <w:rPr>
          <w:rFonts w:ascii="Garamond" w:hAnsi="Garamond"/>
          <w:spacing w:val="-6"/>
          <w:sz w:val="22"/>
          <w:szCs w:val="22"/>
        </w:rPr>
        <w:t xml:space="preserve">, 11: 116. </w:t>
      </w:r>
    </w:p>
    <w:p w14:paraId="7B4B0274" w14:textId="77777777" w:rsidR="00B7402B" w:rsidRPr="00B7402B" w:rsidRDefault="00BA0403" w:rsidP="00B7402B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ind w:left="964" w:hanging="607"/>
        <w:contextualSpacing/>
        <w:jc w:val="both"/>
        <w:rPr>
          <w:rFonts w:ascii="Garamond" w:hAnsi="Garamond"/>
          <w:spacing w:val="-6"/>
          <w:sz w:val="22"/>
          <w:szCs w:val="22"/>
          <w:lang w:eastAsia="pl-PL"/>
        </w:rPr>
      </w:pPr>
      <w:hyperlink r:id="rId18" w:tooltip="Search for Welsh, Jean A." w:history="1">
        <w:r w:rsidR="00B7402B" w:rsidRPr="00B7402B">
          <w:rPr>
            <w:rFonts w:ascii="Garamond" w:hAnsi="Garamond"/>
            <w:spacing w:val="-6"/>
            <w:sz w:val="22"/>
            <w:szCs w:val="22"/>
            <w:lang w:eastAsia="pl-PL"/>
          </w:rPr>
          <w:t>Welsh JA</w:t>
        </w:r>
      </w:hyperlink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, </w:t>
      </w:r>
      <w:hyperlink r:id="rId19" w:tooltip="Search for Nelson, Jennifer M." w:history="1">
        <w:r w:rsidR="00B7402B" w:rsidRPr="00B7402B">
          <w:rPr>
            <w:rFonts w:ascii="Garamond" w:hAnsi="Garamond"/>
            <w:spacing w:val="-6"/>
            <w:sz w:val="22"/>
            <w:szCs w:val="22"/>
            <w:lang w:eastAsia="pl-PL"/>
          </w:rPr>
          <w:t>Nelson JM</w:t>
        </w:r>
      </w:hyperlink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, </w:t>
      </w:r>
      <w:hyperlink r:id="rId20" w:tooltip="Search for Walsh, Stephanie" w:history="1">
        <w:r w:rsidR="00B7402B" w:rsidRPr="00B7402B">
          <w:rPr>
            <w:rFonts w:ascii="Garamond" w:hAnsi="Garamond"/>
            <w:spacing w:val="-6"/>
            <w:sz w:val="22"/>
            <w:szCs w:val="22"/>
            <w:lang w:eastAsia="pl-PL"/>
          </w:rPr>
          <w:t>Walsh S,</w:t>
        </w:r>
      </w:hyperlink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 et al (2015)</w:t>
      </w:r>
      <w:r w:rsidR="00B7402B" w:rsidRPr="00B7402B">
        <w:rPr>
          <w:rFonts w:ascii="Garamond" w:hAnsi="Garamond"/>
          <w:bCs/>
          <w:spacing w:val="-6"/>
          <w:kern w:val="36"/>
          <w:sz w:val="22"/>
          <w:szCs w:val="22"/>
          <w:lang w:eastAsia="pl-PL"/>
        </w:rPr>
        <w:t>. A</w:t>
      </w:r>
      <w:bookmarkStart w:id="1" w:name="citation"/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 Brief </w:t>
      </w:r>
      <w:r w:rsidR="00B7402B" w:rsidRPr="00B7402B">
        <w:rPr>
          <w:rFonts w:ascii="Garamond" w:hAnsi="Garamond"/>
          <w:bCs/>
          <w:spacing w:val="-6"/>
          <w:sz w:val="22"/>
          <w:szCs w:val="22"/>
          <w:lang w:eastAsia="pl-PL"/>
        </w:rPr>
        <w:t>Training</w:t>
      </w:r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 in Patient-Centered Counseling </w:t>
      </w:r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lastRenderedPageBreak/>
        <w:t xml:space="preserve">for Healthy Weight Management Increases Counseling </w:t>
      </w:r>
      <w:r w:rsidR="00B7402B" w:rsidRPr="00B7402B">
        <w:rPr>
          <w:rFonts w:ascii="Garamond" w:hAnsi="Garamond"/>
          <w:bCs/>
          <w:spacing w:val="-6"/>
          <w:sz w:val="22"/>
          <w:szCs w:val="22"/>
          <w:lang w:eastAsia="pl-PL"/>
        </w:rPr>
        <w:t>Self</w:t>
      </w:r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-efficacy and Goal Setting Among Pediatric Primary Care Providers: Results of a Pilot Program. </w:t>
      </w:r>
      <w:bookmarkEnd w:id="1"/>
      <w:r w:rsidR="00B7402B" w:rsidRPr="00B7402B">
        <w:rPr>
          <w:rFonts w:ascii="Garamond" w:hAnsi="Garamond"/>
          <w:i/>
          <w:iCs/>
          <w:spacing w:val="-6"/>
          <w:sz w:val="22"/>
          <w:szCs w:val="22"/>
          <w:lang w:eastAsia="pl-PL"/>
        </w:rPr>
        <w:fldChar w:fldCharType="begin"/>
      </w:r>
      <w:r w:rsidR="00B7402B" w:rsidRPr="00B7402B">
        <w:rPr>
          <w:rFonts w:ascii="Garamond" w:hAnsi="Garamond"/>
          <w:i/>
          <w:iCs/>
          <w:spacing w:val="-6"/>
          <w:sz w:val="22"/>
          <w:szCs w:val="22"/>
          <w:lang w:eastAsia="pl-PL"/>
        </w:rPr>
        <w:instrText xml:space="preserve"> HYPERLINK "javascript:__doLinkPostBack('','mdb~~f5h%7C%7Cjdb~~f5hjnh%7C%7Css~~JN%20%22Clinical%20Pediatrics%22%7C%7Csl~~jh','');" \o "Search for Clinical Pediatrics" </w:instrText>
      </w:r>
      <w:r w:rsidR="00B7402B" w:rsidRPr="00B7402B">
        <w:rPr>
          <w:rFonts w:ascii="Garamond" w:hAnsi="Garamond"/>
          <w:i/>
          <w:iCs/>
          <w:spacing w:val="-6"/>
          <w:sz w:val="22"/>
          <w:szCs w:val="22"/>
          <w:lang w:eastAsia="pl-PL"/>
        </w:rPr>
        <w:fldChar w:fldCharType="separate"/>
      </w:r>
      <w:r w:rsidR="00B7402B" w:rsidRPr="00B7402B">
        <w:rPr>
          <w:rFonts w:ascii="Garamond" w:hAnsi="Garamond"/>
          <w:i/>
          <w:iCs/>
          <w:spacing w:val="-6"/>
          <w:sz w:val="22"/>
          <w:szCs w:val="22"/>
          <w:lang w:eastAsia="pl-PL"/>
        </w:rPr>
        <w:t>Clin Pediatr</w:t>
      </w:r>
      <w:r w:rsidR="00B7402B" w:rsidRPr="00B7402B">
        <w:rPr>
          <w:rFonts w:ascii="Garamond" w:hAnsi="Garamond"/>
          <w:i/>
          <w:iCs/>
          <w:spacing w:val="-6"/>
          <w:sz w:val="22"/>
          <w:szCs w:val="22"/>
          <w:lang w:eastAsia="pl-PL"/>
        </w:rPr>
        <w:fldChar w:fldCharType="end"/>
      </w:r>
      <w:r w:rsidR="00B7402B" w:rsidRPr="00B7402B">
        <w:rPr>
          <w:rFonts w:ascii="Garamond" w:hAnsi="Garamond"/>
          <w:spacing w:val="-6"/>
          <w:sz w:val="22"/>
          <w:szCs w:val="22"/>
        </w:rPr>
        <w:t xml:space="preserve"> </w:t>
      </w:r>
      <w:r w:rsidR="00B7402B" w:rsidRPr="00B7402B">
        <w:rPr>
          <w:rFonts w:ascii="Garamond" w:hAnsi="Garamond"/>
          <w:i/>
          <w:iCs/>
          <w:spacing w:val="-6"/>
          <w:sz w:val="22"/>
          <w:szCs w:val="22"/>
          <w:lang w:eastAsia="pl-PL"/>
        </w:rPr>
        <w:t>(Phila)</w:t>
      </w:r>
      <w:r w:rsidR="00B7402B" w:rsidRPr="00B7402B">
        <w:rPr>
          <w:rFonts w:ascii="Garamond" w:hAnsi="Garamond"/>
          <w:spacing w:val="-6"/>
          <w:sz w:val="22"/>
          <w:szCs w:val="22"/>
          <w:lang w:eastAsia="pl-PL"/>
        </w:rPr>
        <w:t xml:space="preserve">, 54(5): 425-429. </w:t>
      </w:r>
    </w:p>
    <w:p w14:paraId="07AA1886" w14:textId="77777777" w:rsidR="00B7402B" w:rsidRPr="00B7402B" w:rsidRDefault="00B7402B" w:rsidP="00B7402B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ind w:left="964" w:hanging="607"/>
        <w:contextualSpacing/>
        <w:jc w:val="both"/>
        <w:rPr>
          <w:rFonts w:ascii="Garamond" w:hAnsi="Garamond"/>
          <w:spacing w:val="-6"/>
          <w:sz w:val="22"/>
          <w:szCs w:val="22"/>
          <w:lang w:eastAsia="pl-PL"/>
        </w:rPr>
      </w:pPr>
      <w:r w:rsidRPr="00B7402B">
        <w:rPr>
          <w:rFonts w:ascii="Garamond" w:hAnsi="Garamond"/>
          <w:spacing w:val="-6"/>
          <w:sz w:val="22"/>
          <w:szCs w:val="22"/>
        </w:rPr>
        <w:t xml:space="preserve">Obara-Gołębiowska M, Przybyłowicz K (2014). Employment discrimination against obese </w:t>
      </w:r>
      <w:r w:rsidRPr="00B7402B">
        <w:rPr>
          <w:rFonts w:ascii="Garamond" w:hAnsi="Garamond"/>
          <w:spacing w:val="-6"/>
          <w:sz w:val="22"/>
          <w:szCs w:val="22"/>
        </w:rPr>
        <w:t>women in Poland focus study involving patients of an obesity management clinic.</w:t>
      </w:r>
      <w:r w:rsidRPr="00B7402B">
        <w:rPr>
          <w:rFonts w:ascii="Garamond" w:hAnsi="Garamond"/>
          <w:i/>
          <w:iCs/>
          <w:spacing w:val="-6"/>
          <w:sz w:val="22"/>
          <w:szCs w:val="22"/>
        </w:rPr>
        <w:t xml:space="preserve"> Iran J Public Health</w:t>
      </w:r>
      <w:r w:rsidRPr="00B7402B">
        <w:rPr>
          <w:rFonts w:ascii="Garamond" w:hAnsi="Garamond"/>
          <w:spacing w:val="-6"/>
          <w:sz w:val="22"/>
          <w:szCs w:val="22"/>
        </w:rPr>
        <w:t>, 43(5): 689–690</w:t>
      </w:r>
      <w:r w:rsidRPr="00B7402B">
        <w:rPr>
          <w:rFonts w:ascii="Garamond" w:hAnsi="Garamond"/>
          <w:spacing w:val="-6"/>
          <w:sz w:val="22"/>
          <w:szCs w:val="22"/>
          <w:lang w:eastAsia="pl-PL"/>
        </w:rPr>
        <w:t>.</w:t>
      </w:r>
    </w:p>
    <w:p w14:paraId="4A040985" w14:textId="77777777" w:rsidR="00B7402B" w:rsidRDefault="00B7402B" w:rsidP="00B7402B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ind w:left="964" w:hanging="607"/>
        <w:contextualSpacing/>
        <w:jc w:val="both"/>
        <w:rPr>
          <w:rFonts w:ascii="Garamond" w:hAnsi="Garamond"/>
          <w:spacing w:val="-6"/>
          <w:sz w:val="22"/>
          <w:szCs w:val="22"/>
        </w:rPr>
      </w:pPr>
      <w:r w:rsidRPr="00B7402B">
        <w:rPr>
          <w:rFonts w:ascii="Garamond" w:hAnsi="Garamond"/>
          <w:spacing w:val="-6"/>
          <w:sz w:val="22"/>
          <w:szCs w:val="22"/>
        </w:rPr>
        <w:t xml:space="preserve">Powell LH, Calvin III JE, Calvin Jr JE (2007). Effective obesity treatments. </w:t>
      </w:r>
      <w:r w:rsidRPr="00B7402B">
        <w:rPr>
          <w:rFonts w:ascii="Garamond" w:hAnsi="Garamond"/>
          <w:i/>
          <w:spacing w:val="-6"/>
          <w:sz w:val="22"/>
          <w:szCs w:val="22"/>
        </w:rPr>
        <w:t>Am Psychol</w:t>
      </w:r>
      <w:r w:rsidRPr="00B7402B">
        <w:rPr>
          <w:rFonts w:ascii="Garamond" w:hAnsi="Garamond"/>
          <w:spacing w:val="-6"/>
          <w:sz w:val="22"/>
          <w:szCs w:val="22"/>
        </w:rPr>
        <w:t xml:space="preserve">, 62(3): 234-246. </w:t>
      </w:r>
    </w:p>
    <w:p w14:paraId="5BF9B722" w14:textId="77777777" w:rsidR="00B7402B" w:rsidRDefault="00B7402B" w:rsidP="00B7402B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ind w:left="964" w:hanging="607"/>
        <w:contextualSpacing/>
        <w:jc w:val="both"/>
        <w:rPr>
          <w:rFonts w:ascii="Garamond" w:hAnsi="Garamond"/>
          <w:spacing w:val="-6"/>
          <w:sz w:val="22"/>
          <w:szCs w:val="22"/>
        </w:rPr>
        <w:sectPr w:rsidR="00B7402B" w:rsidSect="00B7402B">
          <w:type w:val="continuous"/>
          <w:pgSz w:w="12240" w:h="15840" w:code="1"/>
          <w:pgMar w:top="1701" w:right="1134" w:bottom="1418" w:left="1134" w:header="720" w:footer="720" w:gutter="0"/>
          <w:cols w:num="2" w:space="720"/>
          <w:titlePg/>
          <w:docGrid w:linePitch="360"/>
        </w:sectPr>
      </w:pPr>
    </w:p>
    <w:p w14:paraId="237B943D" w14:textId="22DE6CE3" w:rsidR="00B7402B" w:rsidRPr="00B7402B" w:rsidRDefault="00B7402B" w:rsidP="00B7402B">
      <w:pPr>
        <w:shd w:val="clear" w:color="auto" w:fill="FFFFFF"/>
        <w:tabs>
          <w:tab w:val="left" w:pos="709"/>
        </w:tabs>
        <w:ind w:left="720"/>
        <w:contextualSpacing/>
        <w:jc w:val="both"/>
        <w:rPr>
          <w:rFonts w:ascii="Garamond" w:hAnsi="Garamond"/>
          <w:spacing w:val="-6"/>
          <w:lang w:eastAsia="pl-PL"/>
        </w:rPr>
      </w:pPr>
    </w:p>
    <w:p w14:paraId="56F2AD8B" w14:textId="77777777" w:rsidR="00B7402B" w:rsidRPr="00437441" w:rsidRDefault="00B7402B" w:rsidP="00B7402B">
      <w:pPr>
        <w:pStyle w:val="ListParagraph"/>
        <w:jc w:val="both"/>
        <w:rPr>
          <w:rFonts w:ascii="Garamond" w:hAnsi="Garamond"/>
        </w:rPr>
      </w:pPr>
    </w:p>
    <w:p w14:paraId="4E653592" w14:textId="53571444" w:rsidR="007B2E62" w:rsidRPr="00116448" w:rsidRDefault="007B2E62" w:rsidP="00116448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color w:val="365F91"/>
          <w:sz w:val="28"/>
          <w:rtl/>
          <w:lang w:eastAsia="ko-KR"/>
        </w:rPr>
      </w:pPr>
    </w:p>
    <w:p w14:paraId="7D52D678" w14:textId="77777777" w:rsidR="007B2E62" w:rsidRPr="001D2144" w:rsidRDefault="007B2E62" w:rsidP="007B2E62">
      <w:pPr>
        <w:autoSpaceDE w:val="0"/>
        <w:autoSpaceDN w:val="0"/>
        <w:adjustRightInd w:val="0"/>
        <w:spacing w:after="0"/>
        <w:jc w:val="both"/>
        <w:rPr>
          <w:rFonts w:ascii="Garamond" w:hAnsi="Garamond" w:cstheme="majorBidi"/>
          <w:sz w:val="18"/>
          <w:szCs w:val="18"/>
          <w:lang w:bidi="fa-IR"/>
        </w:rPr>
      </w:pPr>
    </w:p>
    <w:p w14:paraId="0CE3DAF0" w14:textId="77777777" w:rsidR="007B2E62" w:rsidRDefault="007B2E62" w:rsidP="007B2E62">
      <w:pPr>
        <w:autoSpaceDE w:val="0"/>
        <w:autoSpaceDN w:val="0"/>
        <w:adjustRightInd w:val="0"/>
        <w:spacing w:after="0"/>
        <w:jc w:val="both"/>
        <w:rPr>
          <w:rFonts w:ascii="Garamond" w:hAnsi="Garamond" w:cstheme="majorBidi"/>
          <w:sz w:val="24"/>
          <w:szCs w:val="28"/>
          <w:lang w:bidi="fa-IR"/>
        </w:rPr>
        <w:sectPr w:rsidR="007B2E62" w:rsidSect="00B7402B">
          <w:type w:val="continuous"/>
          <w:pgSz w:w="12240" w:h="15840" w:code="1"/>
          <w:pgMar w:top="1701" w:right="1134" w:bottom="1418" w:left="1134" w:header="720" w:footer="720" w:gutter="0"/>
          <w:cols w:space="720"/>
          <w:titlePg/>
          <w:docGrid w:linePitch="360"/>
        </w:sectPr>
      </w:pPr>
    </w:p>
    <w:p w14:paraId="2B2235F8" w14:textId="50B99672" w:rsidR="007B2E62" w:rsidRPr="003C41DA" w:rsidRDefault="007B2E62" w:rsidP="003C41DA">
      <w:pPr>
        <w:tabs>
          <w:tab w:val="left" w:pos="709"/>
          <w:tab w:val="left" w:pos="810"/>
        </w:tabs>
        <w:autoSpaceDE w:val="0"/>
        <w:autoSpaceDN w:val="0"/>
        <w:adjustRightInd w:val="0"/>
        <w:ind w:left="360"/>
        <w:contextualSpacing/>
        <w:jc w:val="both"/>
        <w:rPr>
          <w:rFonts w:ascii="Garamond" w:hAnsi="Garamond" w:cstheme="majorBidi"/>
          <w:spacing w:val="-10"/>
        </w:rPr>
      </w:pPr>
    </w:p>
    <w:p w14:paraId="0302DE48" w14:textId="77777777" w:rsidR="00B13AE9" w:rsidRDefault="00B13AE9" w:rsidP="007B2E62">
      <w:pPr>
        <w:pStyle w:val="ListParagraph"/>
        <w:tabs>
          <w:tab w:val="left" w:pos="709"/>
          <w:tab w:val="left" w:pos="851"/>
        </w:tabs>
        <w:autoSpaceDE w:val="0"/>
        <w:autoSpaceDN w:val="0"/>
        <w:adjustRightInd w:val="0"/>
        <w:ind w:left="964"/>
        <w:contextualSpacing/>
        <w:jc w:val="both"/>
        <w:rPr>
          <w:rFonts w:ascii="Garamond" w:hAnsi="Garamond" w:cstheme="majorBidi"/>
          <w:spacing w:val="-10"/>
          <w:sz w:val="22"/>
          <w:szCs w:val="22"/>
        </w:rPr>
        <w:sectPr w:rsidR="00B13AE9" w:rsidSect="00B13AE9">
          <w:type w:val="continuous"/>
          <w:pgSz w:w="12240" w:h="15840" w:code="1"/>
          <w:pgMar w:top="1701" w:right="1134" w:bottom="1418" w:left="1134" w:header="720" w:footer="720" w:gutter="0"/>
          <w:cols w:num="2" w:space="720"/>
          <w:docGrid w:linePitch="360"/>
        </w:sectPr>
      </w:pPr>
    </w:p>
    <w:p w14:paraId="5A7D2B3B" w14:textId="47E3A377" w:rsidR="007B2E62" w:rsidRPr="007B2E62" w:rsidRDefault="007B2E62" w:rsidP="007B2E62">
      <w:pPr>
        <w:pStyle w:val="ListParagraph"/>
        <w:tabs>
          <w:tab w:val="left" w:pos="709"/>
          <w:tab w:val="left" w:pos="851"/>
        </w:tabs>
        <w:autoSpaceDE w:val="0"/>
        <w:autoSpaceDN w:val="0"/>
        <w:adjustRightInd w:val="0"/>
        <w:ind w:left="964"/>
        <w:contextualSpacing/>
        <w:jc w:val="both"/>
        <w:rPr>
          <w:rFonts w:ascii="Garamond" w:hAnsi="Garamond" w:cstheme="majorBidi"/>
          <w:spacing w:val="-10"/>
          <w:sz w:val="22"/>
          <w:szCs w:val="22"/>
        </w:rPr>
      </w:pPr>
    </w:p>
    <w:p w14:paraId="20161FAA" w14:textId="77777777" w:rsidR="00B13AE9" w:rsidRDefault="00B13AE9" w:rsidP="00B13AE9">
      <w:pPr>
        <w:spacing w:after="0"/>
        <w:jc w:val="both"/>
        <w:rPr>
          <w:rFonts w:ascii="Garamond" w:hAnsi="Garamond" w:cstheme="majorBidi"/>
          <w:szCs w:val="24"/>
          <w:lang w:bidi="fa-IR"/>
        </w:rPr>
      </w:pPr>
    </w:p>
    <w:p w14:paraId="4ACF4BDE" w14:textId="77777777" w:rsidR="00B13AE9" w:rsidRDefault="00B13AE9" w:rsidP="00B13AE9">
      <w:pPr>
        <w:spacing w:after="0"/>
        <w:jc w:val="both"/>
        <w:rPr>
          <w:rFonts w:ascii="Garamond" w:hAnsi="Garamond" w:cstheme="majorBidi"/>
          <w:szCs w:val="24"/>
          <w:lang w:bidi="fa-IR"/>
        </w:rPr>
        <w:sectPr w:rsidR="00B13AE9" w:rsidSect="00B13AE9">
          <w:type w:val="continuous"/>
          <w:pgSz w:w="12240" w:h="15840" w:code="1"/>
          <w:pgMar w:top="1701" w:right="1134" w:bottom="1418" w:left="1134" w:header="720" w:footer="720" w:gutter="0"/>
          <w:cols w:space="720"/>
          <w:docGrid w:linePitch="360"/>
        </w:sectPr>
      </w:pPr>
    </w:p>
    <w:p w14:paraId="39D81BBF" w14:textId="77777777" w:rsidR="00B13AE9" w:rsidRPr="00D43867" w:rsidRDefault="00B13AE9" w:rsidP="00797221">
      <w:pPr>
        <w:spacing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</w:p>
    <w:sectPr w:rsidR="00B13AE9" w:rsidRPr="00D43867" w:rsidSect="00B13AE9">
      <w:type w:val="continuous"/>
      <w:pgSz w:w="12240" w:h="15840" w:code="1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D591C" w14:textId="77777777" w:rsidR="00BA0403" w:rsidRDefault="00BA0403" w:rsidP="007B2E62">
      <w:pPr>
        <w:spacing w:after="0"/>
      </w:pPr>
      <w:r>
        <w:separator/>
      </w:r>
    </w:p>
  </w:endnote>
  <w:endnote w:type="continuationSeparator" w:id="0">
    <w:p w14:paraId="07790037" w14:textId="77777777" w:rsidR="00BA0403" w:rsidRDefault="00BA0403" w:rsidP="007B2E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F2910" w14:textId="7E64F492" w:rsidR="00E240A7" w:rsidRPr="001D2144" w:rsidRDefault="00E240A7" w:rsidP="001D2144">
    <w:pPr>
      <w:pStyle w:val="Footer"/>
      <w:rPr>
        <w:rFonts w:ascii="Garamond" w:hAnsi="Garamond" w:cs="Times New Roman"/>
        <w:sz w:val="24"/>
        <w:szCs w:val="24"/>
      </w:rPr>
    </w:pPr>
    <w:r w:rsidRPr="00900C50">
      <w:rPr>
        <w:rFonts w:ascii="Garamond" w:hAnsi="Garamond"/>
        <w:sz w:val="24"/>
        <w:szCs w:val="24"/>
      </w:rPr>
      <w:t xml:space="preserve">Available at:    </w:t>
    </w:r>
    <w:hyperlink r:id="rId1" w:history="1">
      <w:r w:rsidRPr="00900C50">
        <w:rPr>
          <w:rStyle w:val="Hyperlink"/>
          <w:rFonts w:ascii="Garamond" w:hAnsi="Garamond" w:cs="Arial"/>
          <w:sz w:val="24"/>
          <w:szCs w:val="24"/>
        </w:rPr>
        <w:t>http://ijph.tums.ac.ir</w:t>
      </w:r>
    </w:hyperlink>
    <w:r w:rsidRPr="00900C50">
      <w:rPr>
        <w:rStyle w:val="PageNumber"/>
        <w:rFonts w:ascii="Garamond" w:hAnsi="Garamond"/>
        <w:sz w:val="24"/>
        <w:szCs w:val="24"/>
      </w:rPr>
      <w:tab/>
    </w:r>
    <w:r>
      <w:rPr>
        <w:rStyle w:val="PageNumber"/>
        <w:rFonts w:ascii="Garamond" w:hAnsi="Garamond"/>
        <w:sz w:val="24"/>
        <w:szCs w:val="24"/>
      </w:rPr>
      <w:t xml:space="preserve">                                                                          </w:t>
    </w:r>
    <w:r w:rsidR="002C0B1C">
      <w:rPr>
        <w:rStyle w:val="PageNumber"/>
        <w:rFonts w:ascii="Garamond" w:hAnsi="Garamond"/>
        <w:sz w:val="24"/>
        <w:szCs w:val="24"/>
      </w:rPr>
      <w:t xml:space="preserve">                            </w:t>
    </w:r>
    <w:r w:rsidRPr="00900C50">
      <w:rPr>
        <w:rStyle w:val="PageNumber"/>
        <w:rFonts w:ascii="Garamond" w:hAnsi="Garamond"/>
        <w:sz w:val="24"/>
        <w:szCs w:val="24"/>
      </w:rPr>
      <w:fldChar w:fldCharType="begin"/>
    </w:r>
    <w:r w:rsidRPr="00900C50">
      <w:rPr>
        <w:rStyle w:val="PageNumber"/>
        <w:rFonts w:ascii="Garamond" w:hAnsi="Garamond"/>
        <w:sz w:val="24"/>
        <w:szCs w:val="24"/>
      </w:rPr>
      <w:instrText xml:space="preserve"> PAGE </w:instrText>
    </w:r>
    <w:r w:rsidRPr="00900C50">
      <w:rPr>
        <w:rStyle w:val="PageNumber"/>
        <w:rFonts w:ascii="Garamond" w:hAnsi="Garamond"/>
        <w:sz w:val="24"/>
        <w:szCs w:val="24"/>
      </w:rPr>
      <w:fldChar w:fldCharType="separate"/>
    </w:r>
    <w:r w:rsidR="003813AD">
      <w:rPr>
        <w:rStyle w:val="PageNumber"/>
        <w:rFonts w:ascii="Garamond" w:hAnsi="Garamond"/>
        <w:noProof/>
        <w:sz w:val="24"/>
        <w:szCs w:val="24"/>
      </w:rPr>
      <w:t>2092</w:t>
    </w:r>
    <w:r w:rsidRPr="00900C50">
      <w:rPr>
        <w:rStyle w:val="PageNumber"/>
        <w:rFonts w:ascii="Garamond" w:hAnsi="Garamond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C3501" w14:textId="11C446CA" w:rsidR="00E240A7" w:rsidRPr="00C5139B" w:rsidRDefault="00E240A7" w:rsidP="00C5139B">
    <w:pPr>
      <w:pStyle w:val="Footer"/>
      <w:rPr>
        <w:rFonts w:ascii="Garamond" w:hAnsi="Garamond"/>
        <w:sz w:val="24"/>
        <w:szCs w:val="24"/>
      </w:rPr>
    </w:pPr>
    <w:r w:rsidRPr="00900C50">
      <w:rPr>
        <w:rFonts w:ascii="Garamond" w:hAnsi="Garamond"/>
        <w:sz w:val="24"/>
        <w:szCs w:val="24"/>
      </w:rPr>
      <w:fldChar w:fldCharType="begin"/>
    </w:r>
    <w:r w:rsidRPr="00900C50">
      <w:rPr>
        <w:rFonts w:ascii="Garamond" w:hAnsi="Garamond"/>
        <w:sz w:val="24"/>
        <w:szCs w:val="24"/>
      </w:rPr>
      <w:instrText xml:space="preserve"> PAGE   \* MERGEFORMAT </w:instrText>
    </w:r>
    <w:r w:rsidRPr="00900C50">
      <w:rPr>
        <w:rFonts w:ascii="Garamond" w:hAnsi="Garamond"/>
        <w:sz w:val="24"/>
        <w:szCs w:val="24"/>
      </w:rPr>
      <w:fldChar w:fldCharType="separate"/>
    </w:r>
    <w:r w:rsidR="003813AD">
      <w:rPr>
        <w:rFonts w:ascii="Garamond" w:hAnsi="Garamond"/>
        <w:noProof/>
        <w:sz w:val="24"/>
        <w:szCs w:val="24"/>
      </w:rPr>
      <w:t>2093</w:t>
    </w:r>
    <w:r w:rsidRPr="00900C50">
      <w:rPr>
        <w:rFonts w:ascii="Garamond" w:hAnsi="Garamond"/>
        <w:sz w:val="24"/>
        <w:szCs w:val="24"/>
      </w:rPr>
      <w:fldChar w:fldCharType="end"/>
    </w:r>
    <w:r>
      <w:rPr>
        <w:rFonts w:ascii="Garamond" w:hAnsi="Garamond"/>
        <w:sz w:val="24"/>
        <w:szCs w:val="24"/>
      </w:rPr>
      <w:t xml:space="preserve">                                                                      </w:t>
    </w:r>
    <w:r w:rsidR="002C0B1C">
      <w:rPr>
        <w:rFonts w:ascii="Garamond" w:hAnsi="Garamond"/>
        <w:sz w:val="24"/>
        <w:szCs w:val="24"/>
      </w:rPr>
      <w:t xml:space="preserve">                            </w:t>
    </w:r>
    <w:r>
      <w:rPr>
        <w:rFonts w:ascii="Garamond" w:hAnsi="Garamond"/>
        <w:sz w:val="24"/>
        <w:szCs w:val="24"/>
      </w:rPr>
      <w:t xml:space="preserve">    </w:t>
    </w:r>
    <w:r w:rsidRPr="00900C50">
      <w:rPr>
        <w:rFonts w:ascii="Garamond" w:hAnsi="Garamond"/>
        <w:sz w:val="24"/>
        <w:szCs w:val="24"/>
      </w:rPr>
      <w:t xml:space="preserve">Available at:    </w:t>
    </w:r>
    <w:hyperlink r:id="rId1" w:history="1">
      <w:r w:rsidRPr="00900C50">
        <w:rPr>
          <w:rStyle w:val="Hyperlink"/>
          <w:rFonts w:ascii="Garamond" w:hAnsi="Garamond" w:cs="Arial"/>
          <w:sz w:val="24"/>
          <w:szCs w:val="24"/>
        </w:rPr>
        <w:t>http://ijph.tums.ac.ir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7EE07" w14:textId="109AB22E" w:rsidR="00E240A7" w:rsidRPr="001D2144" w:rsidRDefault="00E240A7" w:rsidP="001D2144">
    <w:pPr>
      <w:pStyle w:val="Footer"/>
      <w:rPr>
        <w:rFonts w:ascii="Garamond" w:hAnsi="Garamond"/>
        <w:sz w:val="24"/>
        <w:szCs w:val="24"/>
      </w:rPr>
    </w:pPr>
    <w:r w:rsidRPr="00900C50">
      <w:rPr>
        <w:rFonts w:ascii="Garamond" w:hAnsi="Garamond"/>
        <w:sz w:val="24"/>
        <w:szCs w:val="24"/>
      </w:rPr>
      <w:fldChar w:fldCharType="begin"/>
    </w:r>
    <w:r w:rsidRPr="00900C50">
      <w:rPr>
        <w:rFonts w:ascii="Garamond" w:hAnsi="Garamond"/>
        <w:sz w:val="24"/>
        <w:szCs w:val="24"/>
      </w:rPr>
      <w:instrText xml:space="preserve"> PAGE   \* MERGEFORMAT </w:instrText>
    </w:r>
    <w:r w:rsidRPr="00900C50">
      <w:rPr>
        <w:rFonts w:ascii="Garamond" w:hAnsi="Garamond"/>
        <w:sz w:val="24"/>
        <w:szCs w:val="24"/>
      </w:rPr>
      <w:fldChar w:fldCharType="separate"/>
    </w:r>
    <w:r w:rsidR="003813AD">
      <w:rPr>
        <w:rFonts w:ascii="Garamond" w:hAnsi="Garamond"/>
        <w:noProof/>
        <w:sz w:val="24"/>
        <w:szCs w:val="24"/>
      </w:rPr>
      <w:t>2091</w:t>
    </w:r>
    <w:r w:rsidRPr="00900C50">
      <w:rPr>
        <w:rFonts w:ascii="Garamond" w:hAnsi="Garamond"/>
        <w:sz w:val="24"/>
        <w:szCs w:val="24"/>
      </w:rPr>
      <w:fldChar w:fldCharType="end"/>
    </w:r>
    <w:r>
      <w:rPr>
        <w:rFonts w:ascii="Garamond" w:hAnsi="Garamond"/>
        <w:sz w:val="24"/>
        <w:szCs w:val="24"/>
      </w:rPr>
      <w:t xml:space="preserve">                        </w:t>
    </w:r>
    <w:r w:rsidR="002C0B1C">
      <w:rPr>
        <w:rFonts w:ascii="Garamond" w:hAnsi="Garamond"/>
        <w:sz w:val="24"/>
        <w:szCs w:val="24"/>
      </w:rPr>
      <w:t xml:space="preserve">                          </w:t>
    </w:r>
    <w:r>
      <w:rPr>
        <w:rFonts w:ascii="Garamond" w:hAnsi="Garamond"/>
        <w:sz w:val="24"/>
        <w:szCs w:val="24"/>
      </w:rPr>
      <w:t xml:space="preserve">                                                    </w:t>
    </w:r>
    <w:r w:rsidRPr="00900C50">
      <w:rPr>
        <w:rFonts w:ascii="Garamond" w:hAnsi="Garamond"/>
        <w:sz w:val="24"/>
        <w:szCs w:val="24"/>
      </w:rPr>
      <w:t xml:space="preserve">Available at:    </w:t>
    </w:r>
    <w:hyperlink r:id="rId1" w:history="1">
      <w:r w:rsidRPr="00900C50">
        <w:rPr>
          <w:rStyle w:val="Hyperlink"/>
          <w:rFonts w:ascii="Garamond" w:hAnsi="Garamond" w:cs="Arial"/>
          <w:sz w:val="24"/>
          <w:szCs w:val="24"/>
        </w:rPr>
        <w:t>http://ijph.tums.ac.ir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4FDD7" w14:textId="77777777" w:rsidR="00BA0403" w:rsidRDefault="00BA0403" w:rsidP="007B2E62">
      <w:pPr>
        <w:spacing w:after="0"/>
      </w:pPr>
      <w:r>
        <w:separator/>
      </w:r>
    </w:p>
  </w:footnote>
  <w:footnote w:type="continuationSeparator" w:id="0">
    <w:p w14:paraId="1549207E" w14:textId="77777777" w:rsidR="00BA0403" w:rsidRDefault="00BA0403" w:rsidP="007B2E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98135" w14:textId="3EC9781A" w:rsidR="00E240A7" w:rsidRPr="00B7402B" w:rsidRDefault="00B7402B" w:rsidP="00B7402B">
    <w:pPr>
      <w:pStyle w:val="Header"/>
      <w:jc w:val="center"/>
      <w:rPr>
        <w:rFonts w:asciiTheme="majorBidi" w:hAnsiTheme="majorBidi" w:cstheme="majorBidi"/>
        <w:b/>
        <w:i/>
        <w:iCs/>
        <w:color w:val="006699"/>
        <w:sz w:val="18"/>
        <w:szCs w:val="18"/>
      </w:rPr>
    </w:pPr>
    <w:r w:rsidRPr="00B7402B">
      <w:rPr>
        <w:rFonts w:asciiTheme="majorBidi" w:hAnsiTheme="majorBidi" w:cstheme="majorBidi"/>
        <w:b/>
        <w:i/>
        <w:iCs/>
        <w:color w:val="006699"/>
        <w:sz w:val="18"/>
        <w:szCs w:val="18"/>
      </w:rPr>
      <w:t xml:space="preserve">Obara-Golebiowska </w:t>
    </w:r>
    <w:r w:rsidR="00E240A7" w:rsidRPr="001D2144">
      <w:rPr>
        <w:rFonts w:asciiTheme="majorBidi" w:hAnsiTheme="majorBidi" w:cstheme="majorBidi"/>
        <w:b/>
        <w:i/>
        <w:iCs/>
        <w:color w:val="006699"/>
        <w:sz w:val="18"/>
        <w:szCs w:val="18"/>
      </w:rPr>
      <w:t xml:space="preserve">et al.: </w:t>
    </w:r>
    <w:r w:rsidRPr="00B7402B">
      <w:rPr>
        <w:rFonts w:asciiTheme="majorBidi" w:hAnsiTheme="majorBidi" w:cstheme="majorBidi"/>
        <w:b/>
        <w:i/>
        <w:iCs/>
        <w:color w:val="006699"/>
        <w:sz w:val="18"/>
        <w:szCs w:val="18"/>
      </w:rPr>
      <w:t xml:space="preserve">Changes in the Quality of Life and Body Mass Index of Overweight </w:t>
    </w:r>
    <w:r w:rsidR="00E240A7" w:rsidRPr="001D2144">
      <w:rPr>
        <w:rFonts w:asciiTheme="majorBidi" w:hAnsiTheme="majorBidi" w:cstheme="majorBidi"/>
        <w:b/>
        <w:i/>
        <w:iCs/>
        <w:color w:val="006699"/>
        <w:sz w:val="18"/>
        <w:szCs w:val="18"/>
      </w:rPr>
      <w:t>…</w:t>
    </w:r>
  </w:p>
  <w:p w14:paraId="45F60172" w14:textId="77777777" w:rsidR="00E240A7" w:rsidRDefault="00E240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81EDF" w14:textId="020789F7" w:rsidR="00E240A7" w:rsidRPr="00B13AE9" w:rsidRDefault="00E240A7" w:rsidP="00C17B46">
    <w:pPr>
      <w:pStyle w:val="Header"/>
      <w:jc w:val="center"/>
      <w:rPr>
        <w:rFonts w:asciiTheme="majorBidi" w:hAnsiTheme="majorBidi" w:cstheme="majorBidi"/>
        <w:b/>
        <w:bCs/>
        <w:i/>
        <w:iCs/>
        <w:color w:val="365F91"/>
        <w:sz w:val="18"/>
        <w:szCs w:val="18"/>
        <w:lang w:eastAsia="ko-KR"/>
      </w:rPr>
    </w:pPr>
    <w:r w:rsidRPr="001D2144">
      <w:rPr>
        <w:rFonts w:asciiTheme="majorBidi" w:hAnsiTheme="majorBidi" w:cstheme="majorBidi"/>
        <w:b/>
        <w:i/>
        <w:iCs/>
        <w:color w:val="005F9E"/>
        <w:sz w:val="18"/>
        <w:szCs w:val="18"/>
      </w:rPr>
      <w:t>Iran J Public Health, Vol. 4</w:t>
    </w:r>
    <w:r w:rsidR="007732F1">
      <w:rPr>
        <w:rFonts w:asciiTheme="majorBidi" w:hAnsiTheme="majorBidi" w:cstheme="majorBidi"/>
        <w:b/>
        <w:i/>
        <w:iCs/>
        <w:color w:val="005F9E"/>
        <w:sz w:val="18"/>
        <w:szCs w:val="18"/>
      </w:rPr>
      <w:t>8</w:t>
    </w:r>
    <w:r w:rsidRPr="001D2144">
      <w:rPr>
        <w:rFonts w:asciiTheme="majorBidi" w:hAnsiTheme="majorBidi" w:cstheme="majorBidi"/>
        <w:b/>
        <w:i/>
        <w:iCs/>
        <w:color w:val="005F9E"/>
        <w:sz w:val="18"/>
        <w:szCs w:val="18"/>
      </w:rPr>
      <w:t xml:space="preserve">, </w:t>
    </w:r>
    <w:r w:rsidRPr="001D2144">
      <w:rPr>
        <w:rFonts w:asciiTheme="majorBidi" w:hAnsiTheme="majorBidi" w:cstheme="majorBidi"/>
        <w:b/>
        <w:i/>
        <w:iCs/>
        <w:color w:val="365F91"/>
        <w:sz w:val="18"/>
        <w:szCs w:val="18"/>
      </w:rPr>
      <w:t>No.</w:t>
    </w:r>
    <w:r w:rsidR="005D3675">
      <w:rPr>
        <w:rFonts w:asciiTheme="majorBidi" w:hAnsiTheme="majorBidi" w:cstheme="majorBidi"/>
        <w:b/>
        <w:i/>
        <w:iCs/>
        <w:color w:val="365F91"/>
        <w:sz w:val="18"/>
        <w:szCs w:val="18"/>
      </w:rPr>
      <w:t>1</w:t>
    </w:r>
    <w:r w:rsidR="00C17B46">
      <w:rPr>
        <w:rFonts w:asciiTheme="majorBidi" w:hAnsiTheme="majorBidi" w:cstheme="majorBidi"/>
        <w:b/>
        <w:i/>
        <w:iCs/>
        <w:color w:val="365F91"/>
        <w:sz w:val="18"/>
        <w:szCs w:val="18"/>
      </w:rPr>
      <w:t>1</w:t>
    </w:r>
    <w:r>
      <w:rPr>
        <w:rFonts w:asciiTheme="majorBidi" w:hAnsiTheme="majorBidi" w:cstheme="majorBidi"/>
        <w:b/>
        <w:i/>
        <w:iCs/>
        <w:color w:val="365F91"/>
        <w:sz w:val="18"/>
        <w:szCs w:val="18"/>
      </w:rPr>
      <w:t xml:space="preserve">, </w:t>
    </w:r>
    <w:r w:rsidR="00C17B46">
      <w:rPr>
        <w:rFonts w:asciiTheme="majorBidi" w:hAnsiTheme="majorBidi" w:cstheme="majorBidi"/>
        <w:b/>
        <w:i/>
        <w:iCs/>
        <w:color w:val="365F91"/>
        <w:sz w:val="18"/>
        <w:szCs w:val="18"/>
      </w:rPr>
      <w:t>Nov</w:t>
    </w:r>
    <w:r w:rsidRPr="001D2144">
      <w:rPr>
        <w:rFonts w:asciiTheme="majorBidi" w:hAnsiTheme="majorBidi" w:cstheme="majorBidi"/>
        <w:b/>
        <w:i/>
        <w:iCs/>
        <w:color w:val="365F91"/>
        <w:sz w:val="18"/>
        <w:szCs w:val="18"/>
      </w:rPr>
      <w:t xml:space="preserve"> 201</w:t>
    </w:r>
    <w:r w:rsidR="00AB7BE7">
      <w:rPr>
        <w:rFonts w:asciiTheme="majorBidi" w:hAnsiTheme="majorBidi" w:cstheme="majorBidi"/>
        <w:b/>
        <w:i/>
        <w:iCs/>
        <w:color w:val="365F91"/>
        <w:sz w:val="18"/>
        <w:szCs w:val="18"/>
      </w:rPr>
      <w:t>9</w:t>
    </w:r>
    <w:r w:rsidRPr="001D2144">
      <w:rPr>
        <w:rFonts w:asciiTheme="majorBidi" w:hAnsiTheme="majorBidi" w:cstheme="majorBidi"/>
        <w:b/>
        <w:i/>
        <w:iCs/>
        <w:color w:val="005F9E"/>
        <w:sz w:val="18"/>
        <w:szCs w:val="18"/>
      </w:rPr>
      <w:t xml:space="preserve">, pp. </w:t>
    </w:r>
    <w:r w:rsidR="002C0B1C">
      <w:rPr>
        <w:rFonts w:asciiTheme="majorBidi" w:hAnsiTheme="majorBidi" w:cstheme="majorBidi" w:hint="eastAsia"/>
        <w:b/>
        <w:i/>
        <w:iCs/>
        <w:color w:val="005F9E"/>
        <w:sz w:val="18"/>
        <w:szCs w:val="18"/>
        <w:lang w:eastAsia="ko-KR"/>
      </w:rPr>
      <w:t>2091-2093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34BB6" w14:textId="77777777" w:rsidR="00E240A7" w:rsidRPr="00424468" w:rsidRDefault="00E240A7" w:rsidP="007B2E62">
    <w:pPr>
      <w:rPr>
        <w:b/>
        <w:bCs/>
        <w:i/>
        <w:iCs/>
        <w:color w:val="005F9E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A2A8DC" wp14:editId="7334D63D">
              <wp:simplePos x="0" y="0"/>
              <wp:positionH relativeFrom="column">
                <wp:posOffset>2743200</wp:posOffset>
              </wp:positionH>
              <wp:positionV relativeFrom="paragraph">
                <wp:posOffset>-187325</wp:posOffset>
              </wp:positionV>
              <wp:extent cx="1066800" cy="1028700"/>
              <wp:effectExtent l="5715" t="5715" r="13335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AC9D6" w14:textId="77777777" w:rsidR="00E240A7" w:rsidRDefault="00E240A7" w:rsidP="007B2E6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BDD686" wp14:editId="60DBB608">
                                <wp:extent cx="876300" cy="87630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2A8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in;margin-top:-14.75pt;width:84pt;height:81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" strokecolor="white">
              <v:textbox>
                <w:txbxContent>
                  <w:p w14:paraId="6B5AC9D6" w14:textId="77777777" w:rsidR="00E240A7" w:rsidRDefault="00E240A7" w:rsidP="007B2E62">
                    <w:r>
                      <w:rPr>
                        <w:noProof/>
                      </w:rPr>
                      <w:drawing>
                        <wp:inline distT="0" distB="0" distL="0" distR="0" wp14:anchorId="6FBDD686" wp14:editId="60DBB608">
                          <wp:extent cx="876300" cy="876300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ACF37FD" w14:textId="77777777" w:rsidR="00E240A7" w:rsidRDefault="00E240A7" w:rsidP="007B2E62">
    <w:pPr>
      <w:rPr>
        <w:rFonts w:cs="Times New Roman"/>
        <w:i/>
        <w:iCs/>
        <w:color w:val="005F9E"/>
        <w:sz w:val="18"/>
        <w:szCs w:val="18"/>
      </w:rPr>
    </w:pPr>
  </w:p>
  <w:p w14:paraId="689928CC" w14:textId="3B1BFA30" w:rsidR="00E240A7" w:rsidRPr="00B7402B" w:rsidRDefault="00E240A7" w:rsidP="00B7402B">
    <w:pPr>
      <w:spacing w:after="0"/>
      <w:jc w:val="both"/>
      <w:rPr>
        <w:rFonts w:ascii="Garamond" w:hAnsi="Garamond" w:cstheme="majorBidi"/>
        <w:b/>
        <w:bCs/>
        <w:sz w:val="24"/>
        <w:szCs w:val="24"/>
      </w:rPr>
    </w:pPr>
    <w:r w:rsidRPr="007B2E62">
      <w:rPr>
        <w:rFonts w:asciiTheme="majorBidi" w:hAnsiTheme="majorBidi" w:cstheme="majorBidi"/>
        <w:i/>
        <w:iCs/>
        <w:color w:val="005F9E"/>
        <w:sz w:val="16"/>
        <w:szCs w:val="16"/>
      </w:rPr>
      <w:t>Iran J Public Health, Vol. 4</w:t>
    </w:r>
    <w:r w:rsidR="007732F1">
      <w:rPr>
        <w:rFonts w:asciiTheme="majorBidi" w:hAnsiTheme="majorBidi" w:cstheme="majorBidi"/>
        <w:i/>
        <w:iCs/>
        <w:color w:val="005F9E"/>
        <w:sz w:val="16"/>
        <w:szCs w:val="16"/>
      </w:rPr>
      <w:t>8</w:t>
    </w:r>
    <w:r w:rsidRPr="007B2E62">
      <w:rPr>
        <w:rFonts w:asciiTheme="majorBidi" w:hAnsiTheme="majorBidi" w:cstheme="majorBidi"/>
        <w:i/>
        <w:iCs/>
        <w:color w:val="005F9E"/>
        <w:sz w:val="16"/>
        <w:szCs w:val="16"/>
      </w:rPr>
      <w:t>, No.</w:t>
    </w:r>
    <w:r w:rsidR="005D3675">
      <w:rPr>
        <w:rFonts w:asciiTheme="majorBidi" w:hAnsiTheme="majorBidi" w:cstheme="majorBidi"/>
        <w:i/>
        <w:iCs/>
        <w:color w:val="005F9E"/>
        <w:sz w:val="16"/>
        <w:szCs w:val="16"/>
      </w:rPr>
      <w:t>1</w:t>
    </w:r>
    <w:r w:rsidR="00C17B46">
      <w:rPr>
        <w:rFonts w:asciiTheme="majorBidi" w:hAnsiTheme="majorBidi" w:cstheme="majorBidi"/>
        <w:i/>
        <w:iCs/>
        <w:color w:val="005F9E"/>
        <w:sz w:val="16"/>
        <w:szCs w:val="16"/>
      </w:rPr>
      <w:t>1</w:t>
    </w:r>
    <w:r w:rsidRPr="007B2E62">
      <w:rPr>
        <w:rFonts w:asciiTheme="majorBidi" w:hAnsiTheme="majorBidi" w:cstheme="majorBidi"/>
        <w:i/>
        <w:iCs/>
        <w:color w:val="005F9E"/>
        <w:sz w:val="16"/>
        <w:szCs w:val="16"/>
      </w:rPr>
      <w:t xml:space="preserve">, </w:t>
    </w:r>
    <w:r w:rsidR="00C17B46">
      <w:rPr>
        <w:rFonts w:asciiTheme="majorBidi" w:hAnsiTheme="majorBidi" w:cstheme="majorBidi"/>
        <w:i/>
        <w:iCs/>
        <w:color w:val="365F91"/>
        <w:sz w:val="16"/>
        <w:szCs w:val="16"/>
      </w:rPr>
      <w:t>Nov</w:t>
    </w:r>
    <w:r>
      <w:rPr>
        <w:rFonts w:asciiTheme="majorBidi" w:hAnsiTheme="majorBidi" w:cstheme="majorBidi"/>
        <w:i/>
        <w:iCs/>
        <w:color w:val="365F91"/>
        <w:sz w:val="16"/>
        <w:szCs w:val="16"/>
      </w:rPr>
      <w:t xml:space="preserve"> </w:t>
    </w:r>
    <w:r w:rsidRPr="007B2E62">
      <w:rPr>
        <w:rFonts w:asciiTheme="majorBidi" w:hAnsiTheme="majorBidi" w:cstheme="majorBidi"/>
        <w:i/>
        <w:iCs/>
        <w:color w:val="365F91"/>
        <w:sz w:val="16"/>
        <w:szCs w:val="16"/>
      </w:rPr>
      <w:t>201</w:t>
    </w:r>
    <w:r w:rsidR="00AB7BE7">
      <w:rPr>
        <w:rFonts w:asciiTheme="majorBidi" w:hAnsiTheme="majorBidi" w:cstheme="majorBidi"/>
        <w:i/>
        <w:iCs/>
        <w:color w:val="365F91"/>
        <w:sz w:val="16"/>
        <w:szCs w:val="16"/>
      </w:rPr>
      <w:t>9</w:t>
    </w:r>
    <w:r w:rsidRPr="007B2E62">
      <w:rPr>
        <w:rFonts w:asciiTheme="majorBidi" w:hAnsiTheme="majorBidi" w:cstheme="majorBidi"/>
        <w:i/>
        <w:iCs/>
        <w:color w:val="005F9E"/>
        <w:sz w:val="16"/>
        <w:szCs w:val="16"/>
      </w:rPr>
      <w:t>, pp.</w:t>
    </w:r>
    <w:r w:rsidR="002C0B1C">
      <w:rPr>
        <w:rFonts w:asciiTheme="majorBidi" w:hAnsiTheme="majorBidi" w:cstheme="majorBidi" w:hint="eastAsia"/>
        <w:i/>
        <w:iCs/>
        <w:color w:val="005F9E"/>
        <w:sz w:val="16"/>
        <w:szCs w:val="16"/>
        <w:lang w:eastAsia="ko-KR"/>
      </w:rPr>
      <w:t>2091-2093</w:t>
    </w:r>
    <w:r w:rsidRPr="007B2E62">
      <w:rPr>
        <w:rFonts w:asciiTheme="majorBidi" w:hAnsiTheme="majorBidi" w:cstheme="majorBidi"/>
        <w:b/>
        <w:color w:val="005F9E"/>
        <w:sz w:val="32"/>
        <w:szCs w:val="32"/>
      </w:rPr>
      <w:t xml:space="preserve">   </w:t>
    </w:r>
    <w:r w:rsidR="002C0B1C">
      <w:rPr>
        <w:rFonts w:asciiTheme="majorBidi" w:hAnsiTheme="majorBidi" w:cstheme="majorBidi"/>
        <w:b/>
        <w:color w:val="005F9E"/>
        <w:sz w:val="32"/>
        <w:szCs w:val="32"/>
      </w:rPr>
      <w:t xml:space="preserve">                        </w:t>
    </w:r>
    <w:r w:rsidRPr="007B2E62">
      <w:rPr>
        <w:rFonts w:asciiTheme="majorBidi" w:hAnsiTheme="majorBidi" w:cstheme="majorBidi"/>
        <w:b/>
        <w:color w:val="005F9E"/>
        <w:sz w:val="32"/>
        <w:szCs w:val="32"/>
      </w:rPr>
      <w:t xml:space="preserve">            </w:t>
    </w:r>
    <w:r w:rsidRPr="007B2E62">
      <w:rPr>
        <w:rFonts w:asciiTheme="majorBidi" w:hAnsiTheme="majorBidi" w:cstheme="majorBidi"/>
        <w:b/>
        <w:color w:val="005F9E"/>
        <w:sz w:val="32"/>
        <w:szCs w:val="32"/>
        <w:rtl/>
      </w:rPr>
      <w:t xml:space="preserve"> </w:t>
    </w:r>
    <w:r w:rsidRPr="007B2E62">
      <w:rPr>
        <w:rFonts w:asciiTheme="majorBidi" w:hAnsiTheme="majorBidi" w:cstheme="majorBidi"/>
        <w:b/>
        <w:color w:val="005F9E"/>
        <w:sz w:val="32"/>
        <w:szCs w:val="32"/>
      </w:rPr>
      <w:t xml:space="preserve"> </w:t>
    </w:r>
    <w:r w:rsidR="00B7402B" w:rsidRPr="00B7402B">
      <w:rPr>
        <w:rFonts w:asciiTheme="majorBidi" w:hAnsiTheme="majorBidi" w:cstheme="majorBidi"/>
        <w:b/>
        <w:color w:val="005F9E"/>
        <w:sz w:val="32"/>
        <w:szCs w:val="32"/>
        <w:u w:val="single"/>
      </w:rPr>
      <w:t>Letter to the Editor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55B1"/>
    <w:multiLevelType w:val="hybridMultilevel"/>
    <w:tmpl w:val="27F42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5002"/>
    <w:multiLevelType w:val="hybridMultilevel"/>
    <w:tmpl w:val="543A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C489D"/>
    <w:multiLevelType w:val="hybridMultilevel"/>
    <w:tmpl w:val="E6829D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3615B3"/>
    <w:multiLevelType w:val="multilevel"/>
    <w:tmpl w:val="568A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93355"/>
    <w:multiLevelType w:val="hybridMultilevel"/>
    <w:tmpl w:val="22B278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D2794"/>
    <w:multiLevelType w:val="multilevel"/>
    <w:tmpl w:val="03DA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0MjU0MLQwtTAyNjRS0lEKTi0uzszPAykwrAUAroMrRSwAAAA="/>
  </w:docVars>
  <w:rsids>
    <w:rsidRoot w:val="00690CDD"/>
    <w:rsid w:val="00000DE0"/>
    <w:rsid w:val="000113C0"/>
    <w:rsid w:val="00032C30"/>
    <w:rsid w:val="000373C5"/>
    <w:rsid w:val="0004153A"/>
    <w:rsid w:val="00096749"/>
    <w:rsid w:val="000B1CAD"/>
    <w:rsid w:val="000B78DC"/>
    <w:rsid w:val="000D0C6C"/>
    <w:rsid w:val="000D6DDF"/>
    <w:rsid w:val="00116448"/>
    <w:rsid w:val="00124DBB"/>
    <w:rsid w:val="00136ED7"/>
    <w:rsid w:val="00141FF7"/>
    <w:rsid w:val="00160456"/>
    <w:rsid w:val="00181447"/>
    <w:rsid w:val="0019208F"/>
    <w:rsid w:val="0019243A"/>
    <w:rsid w:val="00193302"/>
    <w:rsid w:val="001A2A7F"/>
    <w:rsid w:val="001A421B"/>
    <w:rsid w:val="001D0A01"/>
    <w:rsid w:val="001D0C4F"/>
    <w:rsid w:val="001D0EA7"/>
    <w:rsid w:val="001D2144"/>
    <w:rsid w:val="001F3972"/>
    <w:rsid w:val="00203ECD"/>
    <w:rsid w:val="00205D14"/>
    <w:rsid w:val="002133AF"/>
    <w:rsid w:val="00247B52"/>
    <w:rsid w:val="00257CC2"/>
    <w:rsid w:val="002615BC"/>
    <w:rsid w:val="00264CD7"/>
    <w:rsid w:val="002A65BC"/>
    <w:rsid w:val="002B3017"/>
    <w:rsid w:val="002B4F8A"/>
    <w:rsid w:val="002B645A"/>
    <w:rsid w:val="002C0B1C"/>
    <w:rsid w:val="002C7A25"/>
    <w:rsid w:val="002D4E41"/>
    <w:rsid w:val="002E0068"/>
    <w:rsid w:val="002E1564"/>
    <w:rsid w:val="002F3CFA"/>
    <w:rsid w:val="002F7B0B"/>
    <w:rsid w:val="00301A25"/>
    <w:rsid w:val="00306B7D"/>
    <w:rsid w:val="00314C2F"/>
    <w:rsid w:val="0032169A"/>
    <w:rsid w:val="00334702"/>
    <w:rsid w:val="0035321A"/>
    <w:rsid w:val="0036229B"/>
    <w:rsid w:val="003649D2"/>
    <w:rsid w:val="00376594"/>
    <w:rsid w:val="00380713"/>
    <w:rsid w:val="003813AD"/>
    <w:rsid w:val="003A5CC3"/>
    <w:rsid w:val="003C41DA"/>
    <w:rsid w:val="003D2588"/>
    <w:rsid w:val="003E0643"/>
    <w:rsid w:val="003E0FED"/>
    <w:rsid w:val="00401546"/>
    <w:rsid w:val="004313B5"/>
    <w:rsid w:val="00436EBA"/>
    <w:rsid w:val="00437983"/>
    <w:rsid w:val="00451D55"/>
    <w:rsid w:val="004712A0"/>
    <w:rsid w:val="00491224"/>
    <w:rsid w:val="004A26F1"/>
    <w:rsid w:val="004A2905"/>
    <w:rsid w:val="004B1CD1"/>
    <w:rsid w:val="004C520A"/>
    <w:rsid w:val="004C5E8A"/>
    <w:rsid w:val="004D0D1F"/>
    <w:rsid w:val="004E41D3"/>
    <w:rsid w:val="004F3330"/>
    <w:rsid w:val="00500BE2"/>
    <w:rsid w:val="005145CB"/>
    <w:rsid w:val="0052794A"/>
    <w:rsid w:val="0056002F"/>
    <w:rsid w:val="00567223"/>
    <w:rsid w:val="00592DA9"/>
    <w:rsid w:val="005938C6"/>
    <w:rsid w:val="005C5167"/>
    <w:rsid w:val="005D3675"/>
    <w:rsid w:val="005E7A06"/>
    <w:rsid w:val="005F2C1E"/>
    <w:rsid w:val="005F4ACC"/>
    <w:rsid w:val="006056BB"/>
    <w:rsid w:val="006176AA"/>
    <w:rsid w:val="00627C2F"/>
    <w:rsid w:val="00662036"/>
    <w:rsid w:val="00690CDD"/>
    <w:rsid w:val="006E7604"/>
    <w:rsid w:val="00701D93"/>
    <w:rsid w:val="00721DBD"/>
    <w:rsid w:val="007525B8"/>
    <w:rsid w:val="00757B7A"/>
    <w:rsid w:val="00763D5D"/>
    <w:rsid w:val="007731A4"/>
    <w:rsid w:val="007732F1"/>
    <w:rsid w:val="00797221"/>
    <w:rsid w:val="007B2E62"/>
    <w:rsid w:val="007C2538"/>
    <w:rsid w:val="007C53E8"/>
    <w:rsid w:val="007D4E8E"/>
    <w:rsid w:val="007F1818"/>
    <w:rsid w:val="00837B00"/>
    <w:rsid w:val="00840D64"/>
    <w:rsid w:val="00857409"/>
    <w:rsid w:val="00881B2D"/>
    <w:rsid w:val="008866F7"/>
    <w:rsid w:val="008916E6"/>
    <w:rsid w:val="00892C76"/>
    <w:rsid w:val="008D2AE7"/>
    <w:rsid w:val="008D54DA"/>
    <w:rsid w:val="008E3CA7"/>
    <w:rsid w:val="008E5999"/>
    <w:rsid w:val="008F4810"/>
    <w:rsid w:val="00901ED8"/>
    <w:rsid w:val="00917275"/>
    <w:rsid w:val="00954CE3"/>
    <w:rsid w:val="009957D2"/>
    <w:rsid w:val="009A75CC"/>
    <w:rsid w:val="009A7A1F"/>
    <w:rsid w:val="009B253C"/>
    <w:rsid w:val="009B32D8"/>
    <w:rsid w:val="009C2D43"/>
    <w:rsid w:val="00A526EB"/>
    <w:rsid w:val="00A71E99"/>
    <w:rsid w:val="00A74B21"/>
    <w:rsid w:val="00A87E06"/>
    <w:rsid w:val="00AA1739"/>
    <w:rsid w:val="00AA7AFD"/>
    <w:rsid w:val="00AB7BE7"/>
    <w:rsid w:val="00AC7E8F"/>
    <w:rsid w:val="00AD3387"/>
    <w:rsid w:val="00AD7B8E"/>
    <w:rsid w:val="00AE5DC6"/>
    <w:rsid w:val="00B13AE9"/>
    <w:rsid w:val="00B35E2B"/>
    <w:rsid w:val="00B40A20"/>
    <w:rsid w:val="00B43C2B"/>
    <w:rsid w:val="00B46810"/>
    <w:rsid w:val="00B514AC"/>
    <w:rsid w:val="00B7402B"/>
    <w:rsid w:val="00B77257"/>
    <w:rsid w:val="00B8236C"/>
    <w:rsid w:val="00BA0403"/>
    <w:rsid w:val="00BD6B67"/>
    <w:rsid w:val="00BF166E"/>
    <w:rsid w:val="00BF68C7"/>
    <w:rsid w:val="00C07CCC"/>
    <w:rsid w:val="00C17B46"/>
    <w:rsid w:val="00C322CF"/>
    <w:rsid w:val="00C3374C"/>
    <w:rsid w:val="00C43CE7"/>
    <w:rsid w:val="00C44120"/>
    <w:rsid w:val="00C50F93"/>
    <w:rsid w:val="00C5139B"/>
    <w:rsid w:val="00C72155"/>
    <w:rsid w:val="00C776BC"/>
    <w:rsid w:val="00C86702"/>
    <w:rsid w:val="00CA3BC1"/>
    <w:rsid w:val="00CB0F37"/>
    <w:rsid w:val="00CD12E4"/>
    <w:rsid w:val="00CD1D42"/>
    <w:rsid w:val="00CE17F7"/>
    <w:rsid w:val="00CF564A"/>
    <w:rsid w:val="00D01A3A"/>
    <w:rsid w:val="00D0625F"/>
    <w:rsid w:val="00D11125"/>
    <w:rsid w:val="00D2200D"/>
    <w:rsid w:val="00D228D2"/>
    <w:rsid w:val="00D41497"/>
    <w:rsid w:val="00D43867"/>
    <w:rsid w:val="00D52CA3"/>
    <w:rsid w:val="00D54873"/>
    <w:rsid w:val="00D66D19"/>
    <w:rsid w:val="00D84B1A"/>
    <w:rsid w:val="00D92DAC"/>
    <w:rsid w:val="00DD50F6"/>
    <w:rsid w:val="00DE6E0E"/>
    <w:rsid w:val="00DF20D1"/>
    <w:rsid w:val="00DF7BA3"/>
    <w:rsid w:val="00E23C89"/>
    <w:rsid w:val="00E240A7"/>
    <w:rsid w:val="00E37825"/>
    <w:rsid w:val="00E470AD"/>
    <w:rsid w:val="00E60AD6"/>
    <w:rsid w:val="00E633CB"/>
    <w:rsid w:val="00E74B2C"/>
    <w:rsid w:val="00E8102B"/>
    <w:rsid w:val="00E95395"/>
    <w:rsid w:val="00E968CE"/>
    <w:rsid w:val="00EA3F0C"/>
    <w:rsid w:val="00EA56A0"/>
    <w:rsid w:val="00EC62BC"/>
    <w:rsid w:val="00EC75EE"/>
    <w:rsid w:val="00F06D34"/>
    <w:rsid w:val="00F126B2"/>
    <w:rsid w:val="00F24400"/>
    <w:rsid w:val="00F80E7B"/>
    <w:rsid w:val="00F97CE7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CD45"/>
  <w15:docId w15:val="{6C4B1E64-7088-4C31-8B29-87EB963A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C2538"/>
    <w:rPr>
      <w:b/>
      <w:bCs/>
      <w:i w:val="0"/>
      <w:iCs w:val="0"/>
    </w:rPr>
  </w:style>
  <w:style w:type="character" w:customStyle="1" w:styleId="st1">
    <w:name w:val="st1"/>
    <w:basedOn w:val="DefaultParagraphFont"/>
    <w:rsid w:val="007C2538"/>
  </w:style>
  <w:style w:type="paragraph" w:customStyle="1" w:styleId="EndNoteBibliography">
    <w:name w:val="EndNote Bibliography"/>
    <w:basedOn w:val="Normal"/>
    <w:link w:val="EndNoteBibliographyChar"/>
    <w:rsid w:val="00F126B2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126B2"/>
    <w:rPr>
      <w:rFonts w:ascii="Calibri" w:hAnsi="Calibri"/>
      <w:noProof/>
    </w:rPr>
  </w:style>
  <w:style w:type="character" w:styleId="HTMLCite">
    <w:name w:val="HTML Cite"/>
    <w:basedOn w:val="DefaultParagraphFont"/>
    <w:uiPriority w:val="99"/>
    <w:semiHidden/>
    <w:unhideWhenUsed/>
    <w:rsid w:val="008E3CA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4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5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5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153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4153A"/>
  </w:style>
  <w:style w:type="character" w:customStyle="1" w:styleId="st">
    <w:name w:val="st"/>
    <w:basedOn w:val="DefaultParagraphFont"/>
    <w:rsid w:val="0004153A"/>
  </w:style>
  <w:style w:type="paragraph" w:styleId="NormalWeb">
    <w:name w:val="Normal (Web)"/>
    <w:basedOn w:val="Normal"/>
    <w:unhideWhenUsed/>
    <w:rsid w:val="006620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2">
    <w:name w:val="highlight2"/>
    <w:basedOn w:val="DefaultParagraphFont"/>
    <w:rsid w:val="005938C6"/>
  </w:style>
  <w:style w:type="paragraph" w:styleId="NoSpacing">
    <w:name w:val="No Spacing"/>
    <w:uiPriority w:val="1"/>
    <w:qFormat/>
    <w:rsid w:val="007B2E62"/>
    <w:pPr>
      <w:spacing w:after="0"/>
    </w:pPr>
  </w:style>
  <w:style w:type="paragraph" w:customStyle="1" w:styleId="Default">
    <w:name w:val="Default"/>
    <w:rsid w:val="007B2E62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MediumList1-Accent5">
    <w:name w:val="Medium List 1 Accent 5"/>
    <w:basedOn w:val="TableNormal"/>
    <w:uiPriority w:val="65"/>
    <w:unhideWhenUsed/>
    <w:rsid w:val="007B2E62"/>
    <w:pPr>
      <w:spacing w:after="0"/>
    </w:pPr>
    <w:rPr>
      <w:rFonts w:ascii="Times New Roman" w:eastAsia="Batang" w:hAnsi="Times New Roman" w:cs="Times New Roman"/>
      <w:color w:val="000000" w:themeColor="text1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7B2E62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2E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E62"/>
  </w:style>
  <w:style w:type="paragraph" w:styleId="Footer">
    <w:name w:val="footer"/>
    <w:basedOn w:val="Normal"/>
    <w:link w:val="FooterChar"/>
    <w:uiPriority w:val="99"/>
    <w:unhideWhenUsed/>
    <w:rsid w:val="007B2E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E62"/>
  </w:style>
  <w:style w:type="character" w:customStyle="1" w:styleId="FooterChar1">
    <w:name w:val="Footer Char1"/>
    <w:uiPriority w:val="99"/>
    <w:locked/>
    <w:rsid w:val="001D2144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rsid w:val="001D2144"/>
    <w:rPr>
      <w:rFonts w:cs="Times New Roman"/>
    </w:rPr>
  </w:style>
  <w:style w:type="character" w:customStyle="1" w:styleId="shorttext">
    <w:name w:val="short_text"/>
    <w:basedOn w:val="DefaultParagraphFont"/>
    <w:rsid w:val="00B7402B"/>
  </w:style>
  <w:style w:type="paragraph" w:customStyle="1" w:styleId="Pa10">
    <w:name w:val="Pa10"/>
    <w:basedOn w:val="Normal"/>
    <w:next w:val="Normal"/>
    <w:uiPriority w:val="99"/>
    <w:rsid w:val="00B7402B"/>
    <w:pPr>
      <w:autoSpaceDE w:val="0"/>
      <w:autoSpaceDN w:val="0"/>
      <w:adjustRightInd w:val="0"/>
      <w:spacing w:after="0" w:line="191" w:lineRule="atLeast"/>
    </w:pPr>
    <w:rPr>
      <w:rFonts w:ascii="DejaVu Serif" w:eastAsiaTheme="minorHAnsi" w:hAnsi="DejaVu Serif"/>
      <w:sz w:val="24"/>
      <w:szCs w:val="24"/>
      <w:lang w:val="pl-PL"/>
    </w:rPr>
  </w:style>
  <w:style w:type="table" w:styleId="TableClassic1">
    <w:name w:val="Table Classic 1"/>
    <w:basedOn w:val="TableNormal"/>
    <w:uiPriority w:val="99"/>
    <w:unhideWhenUsed/>
    <w:rsid w:val="00B740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4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716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javascript:__doLinkPostBack('','ss~~AR%20%22Welsh%2C%20Jean%20A.%22%7C%7Csl~~rl','');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javascript:__doLinkPostBack('','mdb~~a9h%7C%7Cjdb~~a9hjnh%7C%7Css~~JN%20%22European%20Psychiatry%22%7C%7Csl~~jh',''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__doLinkPostBack('','ss~~AR%20%22Graf%20von%20Reventlow%2C%20H.%22%7C%7Csl~~rl','');" TargetMode="External"/><Relationship Id="rId20" Type="http://schemas.openxmlformats.org/officeDocument/2006/relationships/hyperlink" Target="javascript:__doLinkPostBack('','ss~~AR%20%22Walsh%2C%20Stephanie%22%7C%7Csl~~rl',''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javascript:__doLinkPostBack('','ss~~AR%20%22Ruhrmann%2C%20S.%22%7C%7Csl~~rl','');" TargetMode="External"/><Relationship Id="rId10" Type="http://schemas.openxmlformats.org/officeDocument/2006/relationships/footer" Target="footer1.xml"/><Relationship Id="rId19" Type="http://schemas.openxmlformats.org/officeDocument/2006/relationships/hyperlink" Target="javascript:__doLinkPostBack('','ss~~AR%20%22Nelson%2C%20Jennifer%20M.%22%7C%7Csl~~rl','');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javascript:__doLinkPostBack('','ss~~AR%20%22Salokangas%2C%20R.K.R.%22%7C%7Csl~~rl','');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jph.tums.ac.i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ijph.tums.ac.i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ijph.tums.ac.i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769664-A8EF-45E0-912E-01A6A528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G.Arji</dc:creator>
  <cp:lastModifiedBy>Windows User</cp:lastModifiedBy>
  <cp:revision>77</cp:revision>
  <cp:lastPrinted>2015-11-08T08:18:00Z</cp:lastPrinted>
  <dcterms:created xsi:type="dcterms:W3CDTF">2016-07-10T08:50:00Z</dcterms:created>
  <dcterms:modified xsi:type="dcterms:W3CDTF">2019-11-01T23:39:00Z</dcterms:modified>
</cp:coreProperties>
</file>